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7.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4EE5" w:rsidRPr="008C7FCC" w:rsidRDefault="00A74EE5"/>
    <w:p w:rsidR="003E6E41" w:rsidRPr="008C7FCC" w:rsidRDefault="003E6E41" w:rsidP="003E6E41">
      <w:pPr>
        <w:pStyle w:val="DSECertHDWhite"/>
        <w:rPr>
          <w:sz w:val="72"/>
        </w:rPr>
      </w:pPr>
      <w:bookmarkStart w:id="0" w:name="_GoBack"/>
      <w:r w:rsidRPr="008C7FCC">
        <w:rPr>
          <w:sz w:val="72"/>
        </w:rPr>
        <w:t xml:space="preserve">Environmental-Economic Accounting </w:t>
      </w:r>
    </w:p>
    <w:bookmarkEnd w:id="0"/>
    <w:p w:rsidR="00A74EE5" w:rsidRPr="008C7FCC" w:rsidRDefault="00A74EE5" w:rsidP="00A74EE5">
      <w:pPr>
        <w:pStyle w:val="DSECertHDWhite"/>
      </w:pPr>
    </w:p>
    <w:p w:rsidR="00A74EE5" w:rsidRPr="008C7FCC" w:rsidRDefault="003E6E41" w:rsidP="00A74EE5">
      <w:pPr>
        <w:pStyle w:val="DSECertHBWhite"/>
        <w:ind w:right="284"/>
        <w:rPr>
          <w:sz w:val="40"/>
          <w:szCs w:val="40"/>
        </w:rPr>
      </w:pPr>
      <w:r w:rsidRPr="008C7FCC">
        <w:rPr>
          <w:sz w:val="40"/>
          <w:szCs w:val="40"/>
        </w:rPr>
        <w:t>Victorian Experimental Ecosystem Accounts</w:t>
      </w:r>
      <w:r w:rsidR="00A74EE5" w:rsidRPr="008C7FCC">
        <w:rPr>
          <w:noProof/>
          <w:lang w:eastAsia="en-AU"/>
        </w:rPr>
        <w:drawing>
          <wp:anchor distT="0" distB="0" distL="114300" distR="114300" simplePos="0" relativeHeight="251659264" behindDoc="0" locked="1" layoutInCell="1" allowOverlap="1" wp14:anchorId="50EB046E" wp14:editId="6315CA19">
            <wp:simplePos x="0" y="0"/>
            <wp:positionH relativeFrom="page">
              <wp:posOffset>6290310</wp:posOffset>
            </wp:positionH>
            <wp:positionV relativeFrom="page">
              <wp:posOffset>3248025</wp:posOffset>
            </wp:positionV>
            <wp:extent cx="795655" cy="308610"/>
            <wp:effectExtent l="0" t="0" r="4445" b="0"/>
            <wp:wrapNone/>
            <wp:docPr id="3" name="Picture 3" descr="produced_using_ensym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oduced_using_ensym_whi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95655" cy="308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74EE5" w:rsidRPr="008C7FCC" w:rsidRDefault="00A74EE5" w:rsidP="00A74EE5">
      <w:pPr>
        <w:pStyle w:val="DSEHidden"/>
        <w:rPr>
          <w:vanish w:val="0"/>
          <w:color w:val="FFFFFF"/>
          <w:sz w:val="36"/>
          <w:szCs w:val="36"/>
        </w:rPr>
      </w:pPr>
      <w:r w:rsidRPr="008C7FCC">
        <w:rPr>
          <w:vanish w:val="0"/>
          <w:color w:val="FFFFFF"/>
          <w:sz w:val="24"/>
          <w:szCs w:val="24"/>
        </w:rPr>
        <w:t>27 March 2013</w:t>
      </w:r>
      <w:r w:rsidR="00765330" w:rsidRPr="008C7FCC">
        <w:rPr>
          <w:vanish w:val="0"/>
          <w:color w:val="FFFFFF"/>
          <w:sz w:val="24"/>
          <w:szCs w:val="24"/>
        </w:rPr>
        <w:t xml:space="preserve"> (Version 1.0)</w:t>
      </w:r>
    </w:p>
    <w:p w:rsidR="00A74EE5" w:rsidRPr="008C7FCC" w:rsidRDefault="00A74EE5" w:rsidP="00A74EE5">
      <w:pPr>
        <w:pStyle w:val="DSECertHBWhite"/>
        <w:jc w:val="right"/>
        <w:rPr>
          <w:sz w:val="26"/>
          <w:szCs w:val="26"/>
        </w:rPr>
      </w:pPr>
      <w:r w:rsidRPr="008C7FCC">
        <w:rPr>
          <w:noProof/>
          <w:sz w:val="26"/>
          <w:szCs w:val="26"/>
          <w:lang w:eastAsia="en-AU"/>
        </w:rPr>
        <w:drawing>
          <wp:anchor distT="0" distB="0" distL="114300" distR="114300" simplePos="0" relativeHeight="251660288" behindDoc="0" locked="0" layoutInCell="1" allowOverlap="1" wp14:anchorId="55F70EA0" wp14:editId="01F8FF66">
            <wp:simplePos x="0" y="0"/>
            <wp:positionH relativeFrom="column">
              <wp:posOffset>-231775</wp:posOffset>
            </wp:positionH>
            <wp:positionV relativeFrom="paragraph">
              <wp:posOffset>449644</wp:posOffset>
            </wp:positionV>
            <wp:extent cx="6804025" cy="5103495"/>
            <wp:effectExtent l="19050" t="19050" r="15875" b="20955"/>
            <wp:wrapNone/>
            <wp:docPr id="2" name="Picture 2" descr="WIL010_4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IL010_4_pic"/>
                    <pic:cNvPicPr>
                      <a:picLocks noChangeAspect="1" noChangeArrowheads="1"/>
                    </pic:cNvPicPr>
                  </pic:nvPicPr>
                  <pic:blipFill>
                    <a:blip r:embed="rId11">
                      <a:lum contrast="20000"/>
                      <a:extLst>
                        <a:ext uri="{28A0092B-C50C-407E-A947-70E740481C1C}">
                          <a14:useLocalDpi xmlns:a14="http://schemas.microsoft.com/office/drawing/2010/main" val="0"/>
                        </a:ext>
                      </a:extLst>
                    </a:blip>
                    <a:srcRect/>
                    <a:stretch>
                      <a:fillRect/>
                    </a:stretch>
                  </pic:blipFill>
                  <pic:spPr bwMode="auto">
                    <a:xfrm>
                      <a:off x="0" y="0"/>
                      <a:ext cx="6804025" cy="5103495"/>
                    </a:xfrm>
                    <a:prstGeom prst="rect">
                      <a:avLst/>
                    </a:prstGeom>
                    <a:noFill/>
                    <a:ln w="9525">
                      <a:solidFill>
                        <a:srgbClr val="C0C0C0"/>
                      </a:solidFill>
                      <a:miter lim="800000"/>
                      <a:headEnd/>
                      <a:tailEnd/>
                    </a:ln>
                  </pic:spPr>
                </pic:pic>
              </a:graphicData>
            </a:graphic>
            <wp14:sizeRelH relativeFrom="page">
              <wp14:pctWidth>0</wp14:pctWidth>
            </wp14:sizeRelH>
            <wp14:sizeRelV relativeFrom="page">
              <wp14:pctHeight>0</wp14:pctHeight>
            </wp14:sizeRelV>
          </wp:anchor>
        </w:drawing>
      </w:r>
    </w:p>
    <w:p w:rsidR="00A74EE5" w:rsidRPr="008C7FCC" w:rsidRDefault="00A74EE5" w:rsidP="00A74EE5">
      <w:pPr>
        <w:sectPr w:rsidR="00A74EE5" w:rsidRPr="008C7FCC" w:rsidSect="00A74EE5">
          <w:footerReference w:type="even" r:id="rId12"/>
          <w:headerReference w:type="first" r:id="rId13"/>
          <w:footerReference w:type="first" r:id="rId14"/>
          <w:type w:val="continuous"/>
          <w:pgSz w:w="11907" w:h="16840" w:code="9"/>
          <w:pgMar w:top="1701" w:right="708" w:bottom="993" w:left="1134" w:header="709" w:footer="567" w:gutter="0"/>
          <w:pgNumType w:start="1"/>
          <w:cols w:space="708"/>
          <w:formProt w:val="0"/>
          <w:titlePg/>
          <w:docGrid w:linePitch="360"/>
        </w:sectPr>
      </w:pPr>
    </w:p>
    <w:p w:rsidR="00A74EE5" w:rsidRPr="008C7FCC" w:rsidRDefault="00A74EE5">
      <w:r w:rsidRPr="008C7FCC">
        <w:lastRenderedPageBreak/>
        <w:br w:type="page"/>
      </w:r>
    </w:p>
    <w:p w:rsidR="00A74EE5" w:rsidRPr="008C7FCC" w:rsidRDefault="00A74EE5">
      <w:pPr>
        <w:rPr>
          <w:rFonts w:ascii="Arial" w:hAnsi="Arial" w:cs="Arial"/>
          <w:sz w:val="16"/>
          <w:szCs w:val="18"/>
        </w:rPr>
      </w:pPr>
      <w:r w:rsidRPr="008C7FCC">
        <w:rPr>
          <w:vanish/>
        </w:rPr>
        <w:lastRenderedPageBreak/>
        <w:br w:type="page"/>
      </w:r>
    </w:p>
    <w:p w:rsidR="009103F8" w:rsidRPr="008C7FCC" w:rsidRDefault="009103F8" w:rsidP="003B3138">
      <w:pPr>
        <w:pStyle w:val="DSEHidden"/>
      </w:pPr>
    </w:p>
    <w:p w:rsidR="009103F8" w:rsidRPr="008C7FCC" w:rsidRDefault="009103F8" w:rsidP="009103F8">
      <w:pPr>
        <w:sectPr w:rsidR="009103F8" w:rsidRPr="008C7FCC" w:rsidSect="004D5834">
          <w:headerReference w:type="default" r:id="rId15"/>
          <w:footerReference w:type="even" r:id="rId16"/>
          <w:type w:val="continuous"/>
          <w:pgSz w:w="11907" w:h="16840" w:code="9"/>
          <w:pgMar w:top="1134" w:right="1134" w:bottom="426" w:left="1134" w:header="709" w:footer="567" w:gutter="0"/>
          <w:pgNumType w:start="1"/>
          <w:cols w:space="708"/>
          <w:formProt w:val="0"/>
          <w:titlePg/>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855"/>
      </w:tblGrid>
      <w:tr w:rsidR="009103F8" w:rsidRPr="008C7FCC">
        <w:trPr>
          <w:trHeight w:val="13912"/>
        </w:trPr>
        <w:tc>
          <w:tcPr>
            <w:tcW w:w="9855" w:type="dxa"/>
            <w:vAlign w:val="bottom"/>
          </w:tcPr>
          <w:p w:rsidR="009103F8" w:rsidRPr="008C7FCC" w:rsidRDefault="009103F8" w:rsidP="009A54CC">
            <w:pPr>
              <w:pStyle w:val="DSEBody"/>
            </w:pPr>
            <w:r w:rsidRPr="008C7FCC">
              <w:lastRenderedPageBreak/>
              <w:t>Published by the Victorian Government Department of Sustainability and Environment Melbourne,</w:t>
            </w:r>
            <w:r w:rsidR="003E6E41" w:rsidRPr="008C7FCC">
              <w:t xml:space="preserve"> March 2013</w:t>
            </w:r>
            <w:r w:rsidRPr="008C7FCC">
              <w:br/>
            </w:r>
          </w:p>
          <w:p w:rsidR="009103F8" w:rsidRPr="008C7FCC" w:rsidRDefault="009103F8" w:rsidP="009A54CC">
            <w:pPr>
              <w:pStyle w:val="DSEBody"/>
            </w:pPr>
            <w:r w:rsidRPr="008C7FCC">
              <w:t>© The State of Victoria Department of Sustainability and Environment 201</w:t>
            </w:r>
            <w:r w:rsidR="003E6E41" w:rsidRPr="008C7FCC">
              <w:t>3</w:t>
            </w:r>
            <w:r w:rsidRPr="008C7FCC">
              <w:br/>
              <w:t>This publication is copyright. No part may be reproduced by any process except in accordance with the</w:t>
            </w:r>
            <w:r w:rsidRPr="008C7FCC">
              <w:br/>
              <w:t>provisions of the Copyright Act 1968.</w:t>
            </w:r>
          </w:p>
          <w:p w:rsidR="009103F8" w:rsidRPr="008C7FCC" w:rsidRDefault="009103F8" w:rsidP="009A54CC">
            <w:pPr>
              <w:pStyle w:val="DSEBody"/>
            </w:pPr>
            <w:r w:rsidRPr="008C7FCC">
              <w:t>Authorised by the Victorian Government, 8 Nicholson Street, East Melbourne.</w:t>
            </w:r>
            <w:r w:rsidRPr="008C7FCC">
              <w:br/>
            </w:r>
          </w:p>
          <w:p w:rsidR="009103F8" w:rsidRPr="008C7FCC" w:rsidRDefault="009103F8" w:rsidP="009A54CC">
            <w:pPr>
              <w:pStyle w:val="DSEBody"/>
            </w:pPr>
            <w:r w:rsidRPr="008C7FCC">
              <w:t>Printed on recycled paper.</w:t>
            </w:r>
          </w:p>
          <w:p w:rsidR="003E6E41" w:rsidRPr="008C7FCC" w:rsidRDefault="009103F8" w:rsidP="009A54CC">
            <w:pPr>
              <w:pStyle w:val="DSEBody"/>
              <w:rPr>
                <w:color w:val="FF0000"/>
                <w:szCs w:val="18"/>
              </w:rPr>
            </w:pPr>
            <w:r w:rsidRPr="008C7FCC">
              <w:t>ISBN</w:t>
            </w:r>
            <w:r w:rsidR="003E6E41" w:rsidRPr="008C7FCC">
              <w:t xml:space="preserve"> 978-1-74287-795-2 (online)</w:t>
            </w:r>
            <w:r w:rsidRPr="008C7FCC">
              <w:t xml:space="preserve"> </w:t>
            </w:r>
          </w:p>
          <w:p w:rsidR="009103F8" w:rsidRPr="008C7FCC" w:rsidRDefault="009103F8" w:rsidP="009A54CC">
            <w:pPr>
              <w:pStyle w:val="DSEBody"/>
              <w:rPr>
                <w:color w:val="FF0000"/>
                <w:szCs w:val="18"/>
              </w:rPr>
            </w:pPr>
            <w:r w:rsidRPr="008C7FCC">
              <w:t>For more information contact the DSE Customer Service Centre 136 186</w:t>
            </w:r>
            <w:r w:rsidRPr="008C7FCC">
              <w:br/>
            </w:r>
          </w:p>
          <w:p w:rsidR="009103F8" w:rsidRPr="008C7FCC" w:rsidRDefault="009103F8" w:rsidP="009A54CC">
            <w:pPr>
              <w:pStyle w:val="DSEHC"/>
            </w:pPr>
            <w:bookmarkStart w:id="1" w:name="_Toc310610824"/>
            <w:r w:rsidRPr="008C7FCC">
              <w:t>Disclaimer</w:t>
            </w:r>
            <w:bookmarkEnd w:id="1"/>
          </w:p>
          <w:p w:rsidR="009103F8" w:rsidRPr="008C7FCC" w:rsidRDefault="009103F8" w:rsidP="009A54CC">
            <w:pPr>
              <w:pStyle w:val="DSEBody"/>
            </w:pPr>
            <w:r w:rsidRPr="008C7FCC">
              <w:t>This publication may be of assistance to you but the State of Victoria and its employees do not guarantee that the</w:t>
            </w:r>
            <w:r w:rsidRPr="008C7FCC">
              <w:br/>
              <w:t>publication is without flaw of any kind or is wholly appropriate for your particular purposes and therefore disclaims all</w:t>
            </w:r>
            <w:r w:rsidRPr="008C7FCC">
              <w:br/>
              <w:t>liability for any error, loss or other consequence which may arise from you relying on any information in this publication.</w:t>
            </w:r>
          </w:p>
          <w:p w:rsidR="009103F8" w:rsidRPr="008C7FCC" w:rsidRDefault="009103F8" w:rsidP="009A54CC">
            <w:pPr>
              <w:pStyle w:val="DSEHC"/>
            </w:pPr>
            <w:bookmarkStart w:id="2" w:name="_Toc310610825"/>
            <w:r w:rsidRPr="008C7FCC">
              <w:t>Accessibility</w:t>
            </w:r>
            <w:bookmarkEnd w:id="2"/>
          </w:p>
          <w:p w:rsidR="009103F8" w:rsidRPr="008C7FCC" w:rsidRDefault="009103F8" w:rsidP="009A54CC">
            <w:pPr>
              <w:pStyle w:val="DSEBody"/>
            </w:pPr>
            <w:r w:rsidRPr="008C7FCC">
              <w:t>If you would like to receive this publication in an accessible format, such as large print or audio, please telephone</w:t>
            </w:r>
            <w:r w:rsidRPr="008C7FCC">
              <w:br/>
              <w:t>136 186, or email customer.service@dse.vic.gov.au</w:t>
            </w:r>
          </w:p>
          <w:p w:rsidR="00A74EE5" w:rsidRPr="008C7FCC" w:rsidRDefault="009103F8" w:rsidP="009A54CC">
            <w:pPr>
              <w:pStyle w:val="DSEBody"/>
            </w:pPr>
            <w:r w:rsidRPr="008C7FCC">
              <w:t>Deaf, hearing impaired or speech impaired? Call us via the National Relay Service on 133 677 or visit</w:t>
            </w:r>
            <w:r w:rsidRPr="008C7FCC">
              <w:br/>
              <w:t>www.relayservice.com.au</w:t>
            </w:r>
          </w:p>
          <w:p w:rsidR="00A74EE5" w:rsidRPr="008C7FCC" w:rsidRDefault="009103F8" w:rsidP="009A54CC">
            <w:pPr>
              <w:pStyle w:val="DSEBody"/>
              <w:rPr>
                <w:rStyle w:val="Hyperlink"/>
              </w:rPr>
            </w:pPr>
            <w:r w:rsidRPr="008C7FCC">
              <w:t xml:space="preserve">This document is also available in PDF format on the internet at </w:t>
            </w:r>
            <w:hyperlink r:id="rId17" w:history="1">
              <w:r w:rsidR="00A74EE5" w:rsidRPr="008C7FCC">
                <w:rPr>
                  <w:rStyle w:val="Hyperlink"/>
                </w:rPr>
                <w:t>www.dse.vic.gov.au</w:t>
              </w:r>
            </w:hyperlink>
          </w:p>
          <w:p w:rsidR="00765330" w:rsidRPr="008C7FCC" w:rsidRDefault="00765330" w:rsidP="009A54CC">
            <w:pPr>
              <w:pStyle w:val="DSEBody"/>
              <w:rPr>
                <w:b/>
              </w:rPr>
            </w:pPr>
          </w:p>
          <w:p w:rsidR="00765330" w:rsidRPr="008C7FCC" w:rsidRDefault="00765330" w:rsidP="009A54CC">
            <w:pPr>
              <w:pStyle w:val="DSEBody"/>
              <w:rPr>
                <w:b/>
              </w:rPr>
            </w:pPr>
          </w:p>
          <w:p w:rsidR="00765330" w:rsidRPr="008C7FCC" w:rsidRDefault="00765330" w:rsidP="009A54CC">
            <w:pPr>
              <w:pStyle w:val="DSEBody"/>
              <w:rPr>
                <w:b/>
              </w:rPr>
            </w:pPr>
            <w:r w:rsidRPr="008C7FCC">
              <w:rPr>
                <w:b/>
              </w:rPr>
              <w:t>Suggested Citation:</w:t>
            </w:r>
          </w:p>
          <w:p w:rsidR="00765330" w:rsidRPr="008C7FCC" w:rsidRDefault="00765330" w:rsidP="009A54CC">
            <w:pPr>
              <w:pStyle w:val="DSEBody"/>
            </w:pPr>
            <w:r w:rsidRPr="008C7FCC">
              <w:t>Eigenraam, M., Chua</w:t>
            </w:r>
            <w:r w:rsidR="008040EC" w:rsidRPr="008C7FCC">
              <w:t>,</w:t>
            </w:r>
            <w:r w:rsidRPr="008C7FCC">
              <w:t xml:space="preserve"> </w:t>
            </w:r>
            <w:r w:rsidR="005258A5" w:rsidRPr="008C7FCC">
              <w:t>J. &amp;</w:t>
            </w:r>
            <w:r w:rsidRPr="008C7FCC">
              <w:t xml:space="preserve"> Hasker</w:t>
            </w:r>
            <w:r w:rsidR="008040EC" w:rsidRPr="008C7FCC">
              <w:t>,</w:t>
            </w:r>
            <w:r w:rsidRPr="008C7FCC">
              <w:t xml:space="preserve"> J. (2013).  </w:t>
            </w:r>
            <w:r w:rsidRPr="008C7FCC">
              <w:rPr>
                <w:i/>
              </w:rPr>
              <w:t>Environmental-Economic Accounting: Victorian Experimental Ecosystem Accounts</w:t>
            </w:r>
            <w:r w:rsidR="009D3598" w:rsidRPr="008C7FCC">
              <w:rPr>
                <w:i/>
              </w:rPr>
              <w:t>, Version 1.0</w:t>
            </w:r>
            <w:r w:rsidRPr="008C7FCC">
              <w:t>.  Department of Sustainability and Environment, State of Victoria.</w:t>
            </w:r>
          </w:p>
          <w:p w:rsidR="00765330" w:rsidRPr="008C7FCC" w:rsidRDefault="00765330" w:rsidP="009A54CC">
            <w:pPr>
              <w:pStyle w:val="DSEBody"/>
              <w:rPr>
                <w:b/>
              </w:rPr>
            </w:pPr>
          </w:p>
          <w:p w:rsidR="00C6256A" w:rsidRPr="008C7FCC" w:rsidRDefault="00C6256A" w:rsidP="009A54CC">
            <w:pPr>
              <w:pStyle w:val="DSEBody"/>
              <w:rPr>
                <w:b/>
              </w:rPr>
            </w:pPr>
          </w:p>
        </w:tc>
      </w:tr>
    </w:tbl>
    <w:p w:rsidR="009103F8" w:rsidRPr="008C7FCC" w:rsidRDefault="009103F8" w:rsidP="009103F8">
      <w:pPr>
        <w:pStyle w:val="DSEBody"/>
      </w:pPr>
    </w:p>
    <w:p w:rsidR="00C6256A" w:rsidRPr="008C7FCC" w:rsidRDefault="00C6256A">
      <w:pPr>
        <w:rPr>
          <w:rFonts w:ascii="Arial" w:hAnsi="Arial" w:cs="Arial"/>
          <w:color w:val="5A6E7E"/>
          <w:sz w:val="40"/>
        </w:rPr>
      </w:pPr>
    </w:p>
    <w:p w:rsidR="00C6256A" w:rsidRPr="008C7FCC" w:rsidRDefault="00C6256A" w:rsidP="00C6256A">
      <w:pPr>
        <w:pStyle w:val="DSETOCTitle"/>
        <w:rPr>
          <w:lang w:val="en-AU"/>
        </w:rPr>
      </w:pPr>
      <w:r w:rsidRPr="008C7FCC">
        <w:rPr>
          <w:lang w:val="en-AU"/>
        </w:rPr>
        <w:t>Foreword</w:t>
      </w:r>
    </w:p>
    <w:p w:rsidR="00C6256A" w:rsidRPr="008C7FCC" w:rsidRDefault="00C6256A" w:rsidP="00C6256A">
      <w:pPr>
        <w:pStyle w:val="DSEPullout"/>
        <w:rPr>
          <w:sz w:val="18"/>
          <w:szCs w:val="18"/>
        </w:rPr>
      </w:pPr>
      <w:r w:rsidRPr="008C7FCC">
        <w:rPr>
          <w:sz w:val="18"/>
          <w:szCs w:val="18"/>
        </w:rPr>
        <w:t xml:space="preserve">Environmental-economic accounting aims to provide decision makers with the information they need to maintain and improve ecosystems and the ecosystem services that benefit society.  Decision makers need information to monitor the effectiveness of environmental policy over time and across landscapes. The information helps them understand the current state of ecosystems, the changes in the states of ecosystems, and the causes of those changes.  Policy makers and natural resource managers need information to understand the outcomes of past expenditure, and to improve resource allocation and maximise returns on natural resource investments. </w:t>
      </w:r>
    </w:p>
    <w:p w:rsidR="00C6256A" w:rsidRPr="008C7FCC" w:rsidRDefault="00C6256A" w:rsidP="00C6256A">
      <w:pPr>
        <w:pStyle w:val="DSEPullout"/>
        <w:rPr>
          <w:sz w:val="18"/>
          <w:szCs w:val="18"/>
        </w:rPr>
      </w:pPr>
      <w:r w:rsidRPr="008C7FCC">
        <w:rPr>
          <w:sz w:val="18"/>
          <w:szCs w:val="18"/>
        </w:rPr>
        <w:t>This paper, Environmental-Economic Accounting, Victorian Experimental Ecosystem Accounts, demonstrates that it is possible to provide information on ecosystems and their changing condition through time in an accounting format. It shows how changes in ecosystems can be attributed to human intervention (e.g. revegetation), natural change or environmental events (e.g. flood and fire). The paper also suggests how changes in the condition of ecosystems can be linked with changes in ecosystem services, and with the socio-economic contexts of the ecosystem assets.</w:t>
      </w:r>
    </w:p>
    <w:p w:rsidR="00C6256A" w:rsidRPr="008C7FCC" w:rsidRDefault="00C6256A" w:rsidP="00C6256A">
      <w:pPr>
        <w:pStyle w:val="DSEPullout"/>
        <w:rPr>
          <w:sz w:val="18"/>
          <w:szCs w:val="18"/>
        </w:rPr>
      </w:pPr>
      <w:r w:rsidRPr="008C7FCC">
        <w:rPr>
          <w:sz w:val="18"/>
          <w:szCs w:val="18"/>
        </w:rPr>
        <w:t xml:space="preserve">The accounts presented in this paper were constructed using methods prescribed in the System of Environmental-Economics Accounting: Experimental Ecosystem Accounts (SEEA: EEA), an internationally recognised framework for ecosystem accounting that aligns with the System for National Accounts (SNA) and the work of the Australian Bureau of Statistics in national and environmental accounting. The underlying data were sourced from Commonwealth and Victorian databases, and classified in a manner relevant to policy makers, natural resource managers and decision makers. The tables were designed to present information that is comparable over time and across regions, allowing users to objectively review the outcomes of natural resource management decisions in a broader context. </w:t>
      </w:r>
    </w:p>
    <w:p w:rsidR="00C6256A" w:rsidRPr="008C7FCC" w:rsidRDefault="00C6256A" w:rsidP="00C6256A">
      <w:pPr>
        <w:pStyle w:val="DSEPullout"/>
        <w:rPr>
          <w:sz w:val="18"/>
          <w:szCs w:val="18"/>
        </w:rPr>
      </w:pPr>
      <w:r w:rsidRPr="008C7FCC">
        <w:rPr>
          <w:sz w:val="18"/>
          <w:szCs w:val="18"/>
        </w:rPr>
        <w:t xml:space="preserve">In the future, these accounts should provide decision makers with better information on the contributions ecosystems make to society. This will enable private and public investments in the environmental sector to be better targeted to provide the greatest environmental, economic and societal wellbeing. </w:t>
      </w:r>
    </w:p>
    <w:p w:rsidR="00C6256A" w:rsidRPr="008C7FCC" w:rsidRDefault="00C6256A" w:rsidP="00C6256A">
      <w:pPr>
        <w:pStyle w:val="DSEPullout"/>
        <w:rPr>
          <w:sz w:val="18"/>
          <w:szCs w:val="18"/>
        </w:rPr>
      </w:pPr>
      <w:r w:rsidRPr="008C7FCC">
        <w:rPr>
          <w:sz w:val="18"/>
          <w:szCs w:val="18"/>
        </w:rPr>
        <w:t xml:space="preserve">As this is an experimental set of accounts, comments and feedback are encouraged. </w:t>
      </w:r>
    </w:p>
    <w:p w:rsidR="00C6256A" w:rsidRPr="008C7FCC" w:rsidRDefault="00C6256A" w:rsidP="00C6256A">
      <w:pPr>
        <w:pStyle w:val="DSEPullout"/>
        <w:rPr>
          <w:sz w:val="18"/>
          <w:szCs w:val="18"/>
        </w:rPr>
      </w:pPr>
      <w:r w:rsidRPr="008C7FCC">
        <w:rPr>
          <w:sz w:val="18"/>
          <w:szCs w:val="18"/>
        </w:rPr>
        <w:t xml:space="preserve">We would like to acknowledge Michael Vardon and Carl Obst for their valuable input to the design and production of this report. We would also like to thank Gordon Forbes for his contribution to data management and programming within EnSym. </w:t>
      </w:r>
    </w:p>
    <w:p w:rsidR="00C6256A" w:rsidRPr="008C7FCC" w:rsidRDefault="00C6256A" w:rsidP="00C6256A">
      <w:pPr>
        <w:pStyle w:val="DSEPullout"/>
        <w:rPr>
          <w:sz w:val="18"/>
          <w:szCs w:val="18"/>
        </w:rPr>
      </w:pPr>
    </w:p>
    <w:p w:rsidR="00C6256A" w:rsidRPr="008C7FCC" w:rsidRDefault="00C6256A" w:rsidP="00C6256A">
      <w:pPr>
        <w:pStyle w:val="DSEPullout"/>
        <w:rPr>
          <w:b/>
          <w:sz w:val="18"/>
          <w:szCs w:val="18"/>
        </w:rPr>
      </w:pPr>
      <w:r w:rsidRPr="008C7FCC">
        <w:rPr>
          <w:b/>
          <w:sz w:val="18"/>
          <w:szCs w:val="18"/>
        </w:rPr>
        <w:t>Mark Eigenraam, Joselito Chua and Jessica Hasker</w:t>
      </w:r>
    </w:p>
    <w:p w:rsidR="009103F8" w:rsidRPr="008C7FCC" w:rsidRDefault="00C6256A" w:rsidP="00C6256A">
      <w:pPr>
        <w:pStyle w:val="DSETOCTitle"/>
        <w:rPr>
          <w:sz w:val="18"/>
          <w:szCs w:val="18"/>
          <w:lang w:val="en-AU"/>
        </w:rPr>
        <w:sectPr w:rsidR="009103F8" w:rsidRPr="008C7FCC" w:rsidSect="004D5834">
          <w:footerReference w:type="even" r:id="rId18"/>
          <w:type w:val="continuous"/>
          <w:pgSz w:w="11907" w:h="16840" w:code="9"/>
          <w:pgMar w:top="1134" w:right="1134" w:bottom="426" w:left="1134" w:header="709" w:footer="567" w:gutter="0"/>
          <w:pgNumType w:start="1"/>
          <w:cols w:space="708"/>
          <w:formProt w:val="0"/>
          <w:titlePg/>
          <w:docGrid w:linePitch="360"/>
        </w:sectPr>
      </w:pPr>
      <w:r w:rsidRPr="008C7FCC">
        <w:rPr>
          <w:sz w:val="18"/>
          <w:szCs w:val="18"/>
          <w:lang w:val="en-AU"/>
        </w:rPr>
        <w:t>State of Victoria, Department of Sustainability and Environment</w:t>
      </w:r>
    </w:p>
    <w:p w:rsidR="004578FA" w:rsidRPr="008C7FCC" w:rsidRDefault="004578FA" w:rsidP="00852A30">
      <w:pPr>
        <w:pStyle w:val="DSETOCTitle"/>
        <w:rPr>
          <w:lang w:val="en-AU"/>
        </w:rPr>
      </w:pPr>
      <w:r w:rsidRPr="008C7FCC">
        <w:rPr>
          <w:lang w:val="en-AU"/>
        </w:rPr>
        <w:lastRenderedPageBreak/>
        <w:t>C</w:t>
      </w:r>
      <w:r w:rsidR="00B025B6" w:rsidRPr="008C7FCC">
        <w:rPr>
          <w:lang w:val="en-AU"/>
        </w:rPr>
        <w:t>ontents</w:t>
      </w:r>
    </w:p>
    <w:p w:rsidR="00E53521" w:rsidRDefault="00A15796">
      <w:pPr>
        <w:pStyle w:val="TOC2"/>
        <w:rPr>
          <w:rFonts w:asciiTheme="minorHAnsi" w:eastAsiaTheme="minorEastAsia" w:hAnsiTheme="minorHAnsi" w:cstheme="minorBidi"/>
          <w:sz w:val="22"/>
          <w:szCs w:val="22"/>
          <w:lang w:eastAsia="en-AU"/>
        </w:rPr>
      </w:pPr>
      <w:r w:rsidRPr="008C7FCC">
        <w:rPr>
          <w:noProof w:val="0"/>
        </w:rPr>
        <w:fldChar w:fldCharType="begin"/>
      </w:r>
      <w:r w:rsidRPr="008C7FCC">
        <w:rPr>
          <w:noProof w:val="0"/>
        </w:rPr>
        <w:instrText xml:space="preserve"> TOC \h \z \t "DSE_HA,1,DSE_HB,2" </w:instrText>
      </w:r>
      <w:r w:rsidRPr="008C7FCC">
        <w:rPr>
          <w:noProof w:val="0"/>
        </w:rPr>
        <w:fldChar w:fldCharType="separate"/>
      </w:r>
      <w:hyperlink w:anchor="_Toc352141270" w:history="1">
        <w:r w:rsidR="00E53521" w:rsidRPr="00446D84">
          <w:rPr>
            <w:rStyle w:val="Hyperlink"/>
          </w:rPr>
          <w:t>List of Tables</w:t>
        </w:r>
        <w:r w:rsidR="00E53521">
          <w:rPr>
            <w:webHidden/>
          </w:rPr>
          <w:tab/>
        </w:r>
        <w:r w:rsidR="00E53521">
          <w:rPr>
            <w:webHidden/>
          </w:rPr>
          <w:fldChar w:fldCharType="begin"/>
        </w:r>
        <w:r w:rsidR="00E53521">
          <w:rPr>
            <w:webHidden/>
          </w:rPr>
          <w:instrText xml:space="preserve"> PAGEREF _Toc352141270 \h </w:instrText>
        </w:r>
        <w:r w:rsidR="00E53521">
          <w:rPr>
            <w:webHidden/>
          </w:rPr>
        </w:r>
        <w:r w:rsidR="00E53521">
          <w:rPr>
            <w:webHidden/>
          </w:rPr>
          <w:fldChar w:fldCharType="separate"/>
        </w:r>
        <w:r w:rsidR="00E53521">
          <w:rPr>
            <w:webHidden/>
          </w:rPr>
          <w:t>ii</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1" w:history="1">
        <w:r w:rsidR="00E53521" w:rsidRPr="00446D84">
          <w:rPr>
            <w:rStyle w:val="Hyperlink"/>
          </w:rPr>
          <w:t>List of Figures</w:t>
        </w:r>
        <w:r w:rsidR="00E53521">
          <w:rPr>
            <w:webHidden/>
          </w:rPr>
          <w:tab/>
        </w:r>
        <w:r w:rsidR="00E53521">
          <w:rPr>
            <w:webHidden/>
          </w:rPr>
          <w:fldChar w:fldCharType="begin"/>
        </w:r>
        <w:r w:rsidR="00E53521">
          <w:rPr>
            <w:webHidden/>
          </w:rPr>
          <w:instrText xml:space="preserve"> PAGEREF _Toc352141271 \h </w:instrText>
        </w:r>
        <w:r w:rsidR="00E53521">
          <w:rPr>
            <w:webHidden/>
          </w:rPr>
        </w:r>
        <w:r w:rsidR="00E53521">
          <w:rPr>
            <w:webHidden/>
          </w:rPr>
          <w:fldChar w:fldCharType="separate"/>
        </w:r>
        <w:r w:rsidR="00E53521">
          <w:rPr>
            <w:webHidden/>
          </w:rPr>
          <w:t>ii</w:t>
        </w:r>
        <w:r w:rsidR="00E53521">
          <w:rPr>
            <w:webHidden/>
          </w:rPr>
          <w:fldChar w:fldCharType="end"/>
        </w:r>
      </w:hyperlink>
    </w:p>
    <w:p w:rsidR="00E53521" w:rsidRDefault="002A5794">
      <w:pPr>
        <w:pStyle w:val="TOC1"/>
        <w:rPr>
          <w:rFonts w:asciiTheme="minorHAnsi" w:eastAsiaTheme="minorEastAsia" w:hAnsiTheme="minorHAnsi" w:cstheme="minorBidi"/>
          <w:b w:val="0"/>
          <w:color w:val="auto"/>
          <w:sz w:val="22"/>
          <w:szCs w:val="22"/>
          <w:lang w:val="en-AU" w:eastAsia="en-AU"/>
        </w:rPr>
      </w:pPr>
      <w:hyperlink w:anchor="_Toc352141272" w:history="1">
        <w:r w:rsidR="00E53521" w:rsidRPr="00446D84">
          <w:rPr>
            <w:rStyle w:val="Hyperlink"/>
            <w:lang w:val="en-AU"/>
          </w:rPr>
          <w:t>Introduction</w:t>
        </w:r>
        <w:r w:rsidR="00E53521">
          <w:rPr>
            <w:webHidden/>
          </w:rPr>
          <w:tab/>
        </w:r>
        <w:r w:rsidR="00E53521">
          <w:rPr>
            <w:webHidden/>
          </w:rPr>
          <w:fldChar w:fldCharType="begin"/>
        </w:r>
        <w:r w:rsidR="00E53521">
          <w:rPr>
            <w:webHidden/>
          </w:rPr>
          <w:instrText xml:space="preserve"> PAGEREF _Toc352141272 \h </w:instrText>
        </w:r>
        <w:r w:rsidR="00E53521">
          <w:rPr>
            <w:webHidden/>
          </w:rPr>
        </w:r>
        <w:r w:rsidR="00E53521">
          <w:rPr>
            <w:webHidden/>
          </w:rPr>
          <w:fldChar w:fldCharType="separate"/>
        </w:r>
        <w:r w:rsidR="00E53521">
          <w:rPr>
            <w:webHidden/>
          </w:rPr>
          <w:t>1</w:t>
        </w:r>
        <w:r w:rsidR="00E53521">
          <w:rPr>
            <w:webHidden/>
          </w:rPr>
          <w:fldChar w:fldCharType="end"/>
        </w:r>
      </w:hyperlink>
    </w:p>
    <w:p w:rsidR="00E53521" w:rsidRDefault="002A5794">
      <w:pPr>
        <w:pStyle w:val="TOC1"/>
        <w:rPr>
          <w:rFonts w:asciiTheme="minorHAnsi" w:eastAsiaTheme="minorEastAsia" w:hAnsiTheme="minorHAnsi" w:cstheme="minorBidi"/>
          <w:b w:val="0"/>
          <w:color w:val="auto"/>
          <w:sz w:val="22"/>
          <w:szCs w:val="22"/>
          <w:lang w:val="en-AU" w:eastAsia="en-AU"/>
        </w:rPr>
      </w:pPr>
      <w:hyperlink w:anchor="_Toc352141273" w:history="1">
        <w:r w:rsidR="00E53521" w:rsidRPr="00446D84">
          <w:rPr>
            <w:rStyle w:val="Hyperlink"/>
            <w:lang w:val="en-AU"/>
          </w:rPr>
          <w:t>Accounting Framework</w:t>
        </w:r>
        <w:r w:rsidR="00E53521">
          <w:rPr>
            <w:webHidden/>
          </w:rPr>
          <w:tab/>
        </w:r>
        <w:r w:rsidR="00E53521">
          <w:rPr>
            <w:webHidden/>
          </w:rPr>
          <w:fldChar w:fldCharType="begin"/>
        </w:r>
        <w:r w:rsidR="00E53521">
          <w:rPr>
            <w:webHidden/>
          </w:rPr>
          <w:instrText xml:space="preserve"> PAGEREF _Toc352141273 \h </w:instrText>
        </w:r>
        <w:r w:rsidR="00E53521">
          <w:rPr>
            <w:webHidden/>
          </w:rPr>
        </w:r>
        <w:r w:rsidR="00E53521">
          <w:rPr>
            <w:webHidden/>
          </w:rPr>
          <w:fldChar w:fldCharType="separate"/>
        </w:r>
        <w:r w:rsidR="00E53521">
          <w:rPr>
            <w:webHidden/>
          </w:rPr>
          <w:t>1</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4" w:history="1">
        <w:r w:rsidR="00E53521" w:rsidRPr="00446D84">
          <w:rPr>
            <w:rStyle w:val="Hyperlink"/>
          </w:rPr>
          <w:t>Environmental asset accounting</w:t>
        </w:r>
        <w:r w:rsidR="00E53521">
          <w:rPr>
            <w:webHidden/>
          </w:rPr>
          <w:tab/>
        </w:r>
        <w:r w:rsidR="00E53521">
          <w:rPr>
            <w:webHidden/>
          </w:rPr>
          <w:fldChar w:fldCharType="begin"/>
        </w:r>
        <w:r w:rsidR="00E53521">
          <w:rPr>
            <w:webHidden/>
          </w:rPr>
          <w:instrText xml:space="preserve"> PAGEREF _Toc352141274 \h </w:instrText>
        </w:r>
        <w:r w:rsidR="00E53521">
          <w:rPr>
            <w:webHidden/>
          </w:rPr>
        </w:r>
        <w:r w:rsidR="00E53521">
          <w:rPr>
            <w:webHidden/>
          </w:rPr>
          <w:fldChar w:fldCharType="separate"/>
        </w:r>
        <w:r w:rsidR="00E53521">
          <w:rPr>
            <w:webHidden/>
          </w:rPr>
          <w:t>1</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5" w:history="1">
        <w:r w:rsidR="00E53521" w:rsidRPr="00446D84">
          <w:rPr>
            <w:rStyle w:val="Hyperlink"/>
          </w:rPr>
          <w:t>Ecosystem accounting</w:t>
        </w:r>
        <w:r w:rsidR="00E53521">
          <w:rPr>
            <w:webHidden/>
          </w:rPr>
          <w:tab/>
        </w:r>
        <w:r w:rsidR="00E53521">
          <w:rPr>
            <w:webHidden/>
          </w:rPr>
          <w:fldChar w:fldCharType="begin"/>
        </w:r>
        <w:r w:rsidR="00E53521">
          <w:rPr>
            <w:webHidden/>
          </w:rPr>
          <w:instrText xml:space="preserve"> PAGEREF _Toc352141275 \h </w:instrText>
        </w:r>
        <w:r w:rsidR="00E53521">
          <w:rPr>
            <w:webHidden/>
          </w:rPr>
        </w:r>
        <w:r w:rsidR="00E53521">
          <w:rPr>
            <w:webHidden/>
          </w:rPr>
          <w:fldChar w:fldCharType="separate"/>
        </w:r>
        <w:r w:rsidR="00E53521">
          <w:rPr>
            <w:webHidden/>
          </w:rPr>
          <w:t>2</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6" w:history="1">
        <w:r w:rsidR="00E53521" w:rsidRPr="00446D84">
          <w:rPr>
            <w:rStyle w:val="Hyperlink"/>
          </w:rPr>
          <w:t>Victorian approach</w:t>
        </w:r>
        <w:r w:rsidR="00E53521">
          <w:rPr>
            <w:webHidden/>
          </w:rPr>
          <w:tab/>
        </w:r>
        <w:r w:rsidR="00E53521">
          <w:rPr>
            <w:webHidden/>
          </w:rPr>
          <w:fldChar w:fldCharType="begin"/>
        </w:r>
        <w:r w:rsidR="00E53521">
          <w:rPr>
            <w:webHidden/>
          </w:rPr>
          <w:instrText xml:space="preserve"> PAGEREF _Toc352141276 \h </w:instrText>
        </w:r>
        <w:r w:rsidR="00E53521">
          <w:rPr>
            <w:webHidden/>
          </w:rPr>
        </w:r>
        <w:r w:rsidR="00E53521">
          <w:rPr>
            <w:webHidden/>
          </w:rPr>
          <w:fldChar w:fldCharType="separate"/>
        </w:r>
        <w:r w:rsidR="00E53521">
          <w:rPr>
            <w:webHidden/>
          </w:rPr>
          <w:t>3</w:t>
        </w:r>
        <w:r w:rsidR="00E53521">
          <w:rPr>
            <w:webHidden/>
          </w:rPr>
          <w:fldChar w:fldCharType="end"/>
        </w:r>
      </w:hyperlink>
    </w:p>
    <w:p w:rsidR="00E53521" w:rsidRDefault="002A5794">
      <w:pPr>
        <w:pStyle w:val="TOC1"/>
        <w:rPr>
          <w:rFonts w:asciiTheme="minorHAnsi" w:eastAsiaTheme="minorEastAsia" w:hAnsiTheme="minorHAnsi" w:cstheme="minorBidi"/>
          <w:b w:val="0"/>
          <w:color w:val="auto"/>
          <w:sz w:val="22"/>
          <w:szCs w:val="22"/>
          <w:lang w:val="en-AU" w:eastAsia="en-AU"/>
        </w:rPr>
      </w:pPr>
      <w:hyperlink w:anchor="_Toc352141277" w:history="1">
        <w:r w:rsidR="00E53521" w:rsidRPr="00446D84">
          <w:rPr>
            <w:rStyle w:val="Hyperlink"/>
            <w:lang w:val="en-AU"/>
          </w:rPr>
          <w:t>Victorian Experimental Ecosystem Accounts</w:t>
        </w:r>
        <w:r w:rsidR="00E53521">
          <w:rPr>
            <w:webHidden/>
          </w:rPr>
          <w:tab/>
        </w:r>
        <w:r w:rsidR="00E53521">
          <w:rPr>
            <w:webHidden/>
          </w:rPr>
          <w:fldChar w:fldCharType="begin"/>
        </w:r>
        <w:r w:rsidR="00E53521">
          <w:rPr>
            <w:webHidden/>
          </w:rPr>
          <w:instrText xml:space="preserve"> PAGEREF _Toc352141277 \h </w:instrText>
        </w:r>
        <w:r w:rsidR="00E53521">
          <w:rPr>
            <w:webHidden/>
          </w:rPr>
        </w:r>
        <w:r w:rsidR="00E53521">
          <w:rPr>
            <w:webHidden/>
          </w:rPr>
          <w:fldChar w:fldCharType="separate"/>
        </w:r>
        <w:r w:rsidR="00E53521">
          <w:rPr>
            <w:webHidden/>
          </w:rPr>
          <w:t>4</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8" w:history="1">
        <w:r w:rsidR="00E53521" w:rsidRPr="00446D84">
          <w:rPr>
            <w:rStyle w:val="Hyperlink"/>
          </w:rPr>
          <w:t>Ecosystem Asset Accounts</w:t>
        </w:r>
        <w:r w:rsidR="00E53521">
          <w:rPr>
            <w:webHidden/>
          </w:rPr>
          <w:tab/>
        </w:r>
        <w:r w:rsidR="00E53521">
          <w:rPr>
            <w:webHidden/>
          </w:rPr>
          <w:fldChar w:fldCharType="begin"/>
        </w:r>
        <w:r w:rsidR="00E53521">
          <w:rPr>
            <w:webHidden/>
          </w:rPr>
          <w:instrText xml:space="preserve"> PAGEREF _Toc352141278 \h </w:instrText>
        </w:r>
        <w:r w:rsidR="00E53521">
          <w:rPr>
            <w:webHidden/>
          </w:rPr>
        </w:r>
        <w:r w:rsidR="00E53521">
          <w:rPr>
            <w:webHidden/>
          </w:rPr>
          <w:fldChar w:fldCharType="separate"/>
        </w:r>
        <w:r w:rsidR="00E53521">
          <w:rPr>
            <w:webHidden/>
          </w:rPr>
          <w:t>4</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79" w:history="1">
        <w:r w:rsidR="00E53521" w:rsidRPr="00446D84">
          <w:rPr>
            <w:rStyle w:val="Hyperlink"/>
          </w:rPr>
          <w:t>Asset Flow Accounts</w:t>
        </w:r>
        <w:r w:rsidR="00E53521">
          <w:rPr>
            <w:webHidden/>
          </w:rPr>
          <w:tab/>
        </w:r>
        <w:r w:rsidR="00E53521">
          <w:rPr>
            <w:webHidden/>
          </w:rPr>
          <w:fldChar w:fldCharType="begin"/>
        </w:r>
        <w:r w:rsidR="00E53521">
          <w:rPr>
            <w:webHidden/>
          </w:rPr>
          <w:instrText xml:space="preserve"> PAGEREF _Toc352141279 \h </w:instrText>
        </w:r>
        <w:r w:rsidR="00E53521">
          <w:rPr>
            <w:webHidden/>
          </w:rPr>
        </w:r>
        <w:r w:rsidR="00E53521">
          <w:rPr>
            <w:webHidden/>
          </w:rPr>
          <w:fldChar w:fldCharType="separate"/>
        </w:r>
        <w:r w:rsidR="00E53521">
          <w:rPr>
            <w:webHidden/>
          </w:rPr>
          <w:t>13</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80" w:history="1">
        <w:r w:rsidR="00E53521" w:rsidRPr="00446D84">
          <w:rPr>
            <w:rStyle w:val="Hyperlink"/>
          </w:rPr>
          <w:t>Physical Flow Accounts</w:t>
        </w:r>
        <w:r w:rsidR="00E53521">
          <w:rPr>
            <w:webHidden/>
          </w:rPr>
          <w:tab/>
        </w:r>
        <w:r w:rsidR="00E53521">
          <w:rPr>
            <w:webHidden/>
          </w:rPr>
          <w:fldChar w:fldCharType="begin"/>
        </w:r>
        <w:r w:rsidR="00E53521">
          <w:rPr>
            <w:webHidden/>
          </w:rPr>
          <w:instrText xml:space="preserve"> PAGEREF _Toc352141280 \h </w:instrText>
        </w:r>
        <w:r w:rsidR="00E53521">
          <w:rPr>
            <w:webHidden/>
          </w:rPr>
        </w:r>
        <w:r w:rsidR="00E53521">
          <w:rPr>
            <w:webHidden/>
          </w:rPr>
          <w:fldChar w:fldCharType="separate"/>
        </w:r>
        <w:r w:rsidR="00E53521">
          <w:rPr>
            <w:webHidden/>
          </w:rPr>
          <w:t>14</w:t>
        </w:r>
        <w:r w:rsidR="00E53521">
          <w:rPr>
            <w:webHidden/>
          </w:rPr>
          <w:fldChar w:fldCharType="end"/>
        </w:r>
      </w:hyperlink>
    </w:p>
    <w:p w:rsidR="00E53521" w:rsidRDefault="002A5794">
      <w:pPr>
        <w:pStyle w:val="TOC2"/>
        <w:rPr>
          <w:rFonts w:asciiTheme="minorHAnsi" w:eastAsiaTheme="minorEastAsia" w:hAnsiTheme="minorHAnsi" w:cstheme="minorBidi"/>
          <w:sz w:val="22"/>
          <w:szCs w:val="22"/>
          <w:lang w:eastAsia="en-AU"/>
        </w:rPr>
      </w:pPr>
      <w:hyperlink w:anchor="_Toc352141281" w:history="1">
        <w:r w:rsidR="00E53521" w:rsidRPr="00446D84">
          <w:rPr>
            <w:rStyle w:val="Hyperlink"/>
          </w:rPr>
          <w:t>Environmental Payment Accounts</w:t>
        </w:r>
        <w:r w:rsidR="00E53521">
          <w:rPr>
            <w:webHidden/>
          </w:rPr>
          <w:tab/>
        </w:r>
        <w:r w:rsidR="00E53521">
          <w:rPr>
            <w:webHidden/>
          </w:rPr>
          <w:fldChar w:fldCharType="begin"/>
        </w:r>
        <w:r w:rsidR="00E53521">
          <w:rPr>
            <w:webHidden/>
          </w:rPr>
          <w:instrText xml:space="preserve"> PAGEREF _Toc352141281 \h </w:instrText>
        </w:r>
        <w:r w:rsidR="00E53521">
          <w:rPr>
            <w:webHidden/>
          </w:rPr>
        </w:r>
        <w:r w:rsidR="00E53521">
          <w:rPr>
            <w:webHidden/>
          </w:rPr>
          <w:fldChar w:fldCharType="separate"/>
        </w:r>
        <w:r w:rsidR="00E53521">
          <w:rPr>
            <w:webHidden/>
          </w:rPr>
          <w:t>18</w:t>
        </w:r>
        <w:r w:rsidR="00E53521">
          <w:rPr>
            <w:webHidden/>
          </w:rPr>
          <w:fldChar w:fldCharType="end"/>
        </w:r>
      </w:hyperlink>
    </w:p>
    <w:p w:rsidR="00E53521" w:rsidRDefault="002A5794">
      <w:pPr>
        <w:pStyle w:val="TOC1"/>
        <w:rPr>
          <w:rFonts w:asciiTheme="minorHAnsi" w:eastAsiaTheme="minorEastAsia" w:hAnsiTheme="minorHAnsi" w:cstheme="minorBidi"/>
          <w:b w:val="0"/>
          <w:color w:val="auto"/>
          <w:sz w:val="22"/>
          <w:szCs w:val="22"/>
          <w:lang w:val="en-AU" w:eastAsia="en-AU"/>
        </w:rPr>
      </w:pPr>
      <w:hyperlink w:anchor="_Toc352141282" w:history="1">
        <w:r w:rsidR="00E53521" w:rsidRPr="00446D84">
          <w:rPr>
            <w:rStyle w:val="Hyperlink"/>
            <w:lang w:val="en-AU"/>
          </w:rPr>
          <w:t>Concluding remarks</w:t>
        </w:r>
        <w:r w:rsidR="00E53521">
          <w:rPr>
            <w:webHidden/>
          </w:rPr>
          <w:tab/>
        </w:r>
        <w:r w:rsidR="00E53521">
          <w:rPr>
            <w:webHidden/>
          </w:rPr>
          <w:fldChar w:fldCharType="begin"/>
        </w:r>
        <w:r w:rsidR="00E53521">
          <w:rPr>
            <w:webHidden/>
          </w:rPr>
          <w:instrText xml:space="preserve"> PAGEREF _Toc352141282 \h </w:instrText>
        </w:r>
        <w:r w:rsidR="00E53521">
          <w:rPr>
            <w:webHidden/>
          </w:rPr>
        </w:r>
        <w:r w:rsidR="00E53521">
          <w:rPr>
            <w:webHidden/>
          </w:rPr>
          <w:fldChar w:fldCharType="separate"/>
        </w:r>
        <w:r w:rsidR="00E53521">
          <w:rPr>
            <w:webHidden/>
          </w:rPr>
          <w:t>20</w:t>
        </w:r>
        <w:r w:rsidR="00E53521">
          <w:rPr>
            <w:webHidden/>
          </w:rPr>
          <w:fldChar w:fldCharType="end"/>
        </w:r>
      </w:hyperlink>
    </w:p>
    <w:p w:rsidR="00E53521" w:rsidRDefault="002A5794">
      <w:pPr>
        <w:pStyle w:val="TOC1"/>
        <w:rPr>
          <w:rFonts w:asciiTheme="minorHAnsi" w:eastAsiaTheme="minorEastAsia" w:hAnsiTheme="minorHAnsi" w:cstheme="minorBidi"/>
          <w:b w:val="0"/>
          <w:color w:val="auto"/>
          <w:sz w:val="22"/>
          <w:szCs w:val="22"/>
          <w:lang w:val="en-AU" w:eastAsia="en-AU"/>
        </w:rPr>
      </w:pPr>
      <w:hyperlink w:anchor="_Toc352141283" w:history="1">
        <w:r w:rsidR="00E53521" w:rsidRPr="00446D84">
          <w:rPr>
            <w:rStyle w:val="Hyperlink"/>
            <w:lang w:val="en-AU"/>
          </w:rPr>
          <w:t>Appendix A: Full data sets</w:t>
        </w:r>
        <w:r w:rsidR="00E53521">
          <w:rPr>
            <w:webHidden/>
          </w:rPr>
          <w:tab/>
        </w:r>
        <w:r w:rsidR="00E53521">
          <w:rPr>
            <w:webHidden/>
          </w:rPr>
          <w:fldChar w:fldCharType="begin"/>
        </w:r>
        <w:r w:rsidR="00E53521">
          <w:rPr>
            <w:webHidden/>
          </w:rPr>
          <w:instrText xml:space="preserve"> PAGEREF _Toc352141283 \h </w:instrText>
        </w:r>
        <w:r w:rsidR="00E53521">
          <w:rPr>
            <w:webHidden/>
          </w:rPr>
        </w:r>
        <w:r w:rsidR="00E53521">
          <w:rPr>
            <w:webHidden/>
          </w:rPr>
          <w:fldChar w:fldCharType="separate"/>
        </w:r>
        <w:r w:rsidR="00E53521">
          <w:rPr>
            <w:webHidden/>
          </w:rPr>
          <w:t>21</w:t>
        </w:r>
        <w:r w:rsidR="00E53521">
          <w:rPr>
            <w:webHidden/>
          </w:rPr>
          <w:fldChar w:fldCharType="end"/>
        </w:r>
      </w:hyperlink>
    </w:p>
    <w:p w:rsidR="003F4DA9" w:rsidRPr="008C7FCC" w:rsidRDefault="00A15796" w:rsidP="00B121B4">
      <w:pPr>
        <w:pStyle w:val="DSEBody"/>
      </w:pPr>
      <w:r w:rsidRPr="008C7FCC">
        <w:fldChar w:fldCharType="end"/>
      </w:r>
    </w:p>
    <w:p w:rsidR="003F4DA9" w:rsidRPr="008C7FCC" w:rsidRDefault="003F4DA9">
      <w:pPr>
        <w:rPr>
          <w:rFonts w:ascii="Arial" w:hAnsi="Arial" w:cs="Arial"/>
          <w:sz w:val="18"/>
        </w:rPr>
      </w:pPr>
      <w:r w:rsidRPr="008C7FCC">
        <w:br w:type="page"/>
      </w:r>
    </w:p>
    <w:p w:rsidR="00B121B4" w:rsidRPr="008C7FCC" w:rsidRDefault="00B121B4" w:rsidP="00B121B4">
      <w:pPr>
        <w:pStyle w:val="DSEBody"/>
      </w:pPr>
    </w:p>
    <w:p w:rsidR="003F4DA9" w:rsidRPr="008C7FCC" w:rsidRDefault="00FA47D1" w:rsidP="003F4DA9">
      <w:pPr>
        <w:pStyle w:val="DSEHB"/>
      </w:pPr>
      <w:bookmarkStart w:id="3" w:name="_Toc352141270"/>
      <w:r w:rsidRPr="008C7FCC">
        <w:t xml:space="preserve">List of </w:t>
      </w:r>
      <w:r w:rsidR="00B121B4" w:rsidRPr="008C7FCC">
        <w:t>Tables</w:t>
      </w:r>
      <w:bookmarkEnd w:id="3"/>
    </w:p>
    <w:p w:rsidR="00E53521" w:rsidRDefault="003F4DA9">
      <w:pPr>
        <w:pStyle w:val="TableofFigures"/>
        <w:tabs>
          <w:tab w:val="right" w:leader="dot" w:pos="9629"/>
        </w:tabs>
        <w:rPr>
          <w:rFonts w:asciiTheme="minorHAnsi" w:eastAsiaTheme="minorEastAsia" w:hAnsiTheme="minorHAnsi" w:cstheme="minorBidi"/>
          <w:noProof/>
          <w:sz w:val="22"/>
          <w:szCs w:val="22"/>
          <w:lang w:eastAsia="en-AU"/>
        </w:rPr>
      </w:pPr>
      <w:r w:rsidRPr="008C7FCC">
        <w:rPr>
          <w:rStyle w:val="Hyperlink"/>
        </w:rPr>
        <w:fldChar w:fldCharType="begin"/>
      </w:r>
      <w:r w:rsidRPr="008C7FCC">
        <w:rPr>
          <w:rStyle w:val="Hyperlink"/>
        </w:rPr>
        <w:instrText xml:space="preserve"> TOC \h \z \c "Table" </w:instrText>
      </w:r>
      <w:r w:rsidRPr="008C7FCC">
        <w:rPr>
          <w:rStyle w:val="Hyperlink"/>
        </w:rPr>
        <w:fldChar w:fldCharType="separate"/>
      </w:r>
      <w:hyperlink w:anchor="_Toc352141252" w:history="1">
        <w:r w:rsidR="00E53521" w:rsidRPr="00F16730">
          <w:rPr>
            <w:rStyle w:val="Hyperlink"/>
            <w:noProof/>
          </w:rPr>
          <w:t>Table 1. Victorian terrestrial extent and condition classified by Major Vegetation Groups: 1750, 2005</w:t>
        </w:r>
        <w:r w:rsidR="00E53521">
          <w:rPr>
            <w:noProof/>
            <w:webHidden/>
          </w:rPr>
          <w:tab/>
        </w:r>
        <w:r w:rsidR="00E53521">
          <w:rPr>
            <w:noProof/>
            <w:webHidden/>
          </w:rPr>
          <w:fldChar w:fldCharType="begin"/>
        </w:r>
        <w:r w:rsidR="00E53521">
          <w:rPr>
            <w:noProof/>
            <w:webHidden/>
          </w:rPr>
          <w:instrText xml:space="preserve"> PAGEREF _Toc352141252 \h </w:instrText>
        </w:r>
        <w:r w:rsidR="00E53521">
          <w:rPr>
            <w:noProof/>
            <w:webHidden/>
          </w:rPr>
        </w:r>
        <w:r w:rsidR="00E53521">
          <w:rPr>
            <w:noProof/>
            <w:webHidden/>
          </w:rPr>
          <w:fldChar w:fldCharType="separate"/>
        </w:r>
        <w:r w:rsidR="00E53521">
          <w:rPr>
            <w:noProof/>
            <w:webHidden/>
          </w:rPr>
          <w:t>5</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3" w:history="1">
        <w:r w:rsidR="00E53521" w:rsidRPr="00F16730">
          <w:rPr>
            <w:rStyle w:val="Hyperlink"/>
            <w:noProof/>
          </w:rPr>
          <w:t>Table 2. CCMA - Corangamite Catchment Management Authority: Terrestrial vegetation type by area and average vegetation condition, 1750 and 2005</w:t>
        </w:r>
        <w:r w:rsidR="00E53521">
          <w:rPr>
            <w:noProof/>
            <w:webHidden/>
          </w:rPr>
          <w:tab/>
        </w:r>
        <w:r w:rsidR="00E53521">
          <w:rPr>
            <w:noProof/>
            <w:webHidden/>
          </w:rPr>
          <w:fldChar w:fldCharType="begin"/>
        </w:r>
        <w:r w:rsidR="00E53521">
          <w:rPr>
            <w:noProof/>
            <w:webHidden/>
          </w:rPr>
          <w:instrText xml:space="preserve"> PAGEREF _Toc352141253 \h </w:instrText>
        </w:r>
        <w:r w:rsidR="00E53521">
          <w:rPr>
            <w:noProof/>
            <w:webHidden/>
          </w:rPr>
        </w:r>
        <w:r w:rsidR="00E53521">
          <w:rPr>
            <w:noProof/>
            <w:webHidden/>
          </w:rPr>
          <w:fldChar w:fldCharType="separate"/>
        </w:r>
        <w:r w:rsidR="00E53521">
          <w:rPr>
            <w:noProof/>
            <w:webHidden/>
          </w:rPr>
          <w:t>6</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4" w:history="1">
        <w:r w:rsidR="00E53521" w:rsidRPr="00F16730">
          <w:rPr>
            <w:rStyle w:val="Hyperlink"/>
            <w:noProof/>
          </w:rPr>
          <w:t>Table 3. Bioregion - EGL - East Gippsland Lowlands: Terrestrial vegetation type by area and average vegetation condition, 1750 and 2005</w:t>
        </w:r>
        <w:r w:rsidR="00E53521">
          <w:rPr>
            <w:noProof/>
            <w:webHidden/>
          </w:rPr>
          <w:tab/>
        </w:r>
        <w:r w:rsidR="00E53521">
          <w:rPr>
            <w:noProof/>
            <w:webHidden/>
          </w:rPr>
          <w:fldChar w:fldCharType="begin"/>
        </w:r>
        <w:r w:rsidR="00E53521">
          <w:rPr>
            <w:noProof/>
            <w:webHidden/>
          </w:rPr>
          <w:instrText xml:space="preserve"> PAGEREF _Toc352141254 \h </w:instrText>
        </w:r>
        <w:r w:rsidR="00E53521">
          <w:rPr>
            <w:noProof/>
            <w:webHidden/>
          </w:rPr>
        </w:r>
        <w:r w:rsidR="00E53521">
          <w:rPr>
            <w:noProof/>
            <w:webHidden/>
          </w:rPr>
          <w:fldChar w:fldCharType="separate"/>
        </w:r>
        <w:r w:rsidR="00E53521">
          <w:rPr>
            <w:noProof/>
            <w:webHidden/>
          </w:rPr>
          <w:t>8</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5" w:history="1">
        <w:r w:rsidR="00E53521" w:rsidRPr="00F16730">
          <w:rPr>
            <w:rStyle w:val="Hyperlink"/>
            <w:noProof/>
          </w:rPr>
          <w:t>Table 4. SA4-205 - Latrobe - Gippsland: Terrestrial vegetation type by area and average vegetation condition, 1750 and 2005</w:t>
        </w:r>
        <w:r w:rsidR="00E53521">
          <w:rPr>
            <w:noProof/>
            <w:webHidden/>
          </w:rPr>
          <w:tab/>
        </w:r>
        <w:r w:rsidR="00E53521">
          <w:rPr>
            <w:noProof/>
            <w:webHidden/>
          </w:rPr>
          <w:fldChar w:fldCharType="begin"/>
        </w:r>
        <w:r w:rsidR="00E53521">
          <w:rPr>
            <w:noProof/>
            <w:webHidden/>
          </w:rPr>
          <w:instrText xml:space="preserve"> PAGEREF _Toc352141255 \h </w:instrText>
        </w:r>
        <w:r w:rsidR="00E53521">
          <w:rPr>
            <w:noProof/>
            <w:webHidden/>
          </w:rPr>
        </w:r>
        <w:r w:rsidR="00E53521">
          <w:rPr>
            <w:noProof/>
            <w:webHidden/>
          </w:rPr>
          <w:fldChar w:fldCharType="separate"/>
        </w:r>
        <w:r w:rsidR="00E53521">
          <w:rPr>
            <w:noProof/>
            <w:webHidden/>
          </w:rPr>
          <w:t>10</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6" w:history="1">
        <w:r w:rsidR="00E53521" w:rsidRPr="00F16730">
          <w:rPr>
            <w:rStyle w:val="Hyperlink"/>
            <w:noProof/>
          </w:rPr>
          <w:t>Table 5. SA4-205 Latrobe Gippsland socio-economic data</w:t>
        </w:r>
        <w:r w:rsidR="00E53521">
          <w:rPr>
            <w:noProof/>
            <w:webHidden/>
          </w:rPr>
          <w:tab/>
        </w:r>
        <w:r w:rsidR="00E53521">
          <w:rPr>
            <w:noProof/>
            <w:webHidden/>
          </w:rPr>
          <w:fldChar w:fldCharType="begin"/>
        </w:r>
        <w:r w:rsidR="00E53521">
          <w:rPr>
            <w:noProof/>
            <w:webHidden/>
          </w:rPr>
          <w:instrText xml:space="preserve"> PAGEREF _Toc352141256 \h </w:instrText>
        </w:r>
        <w:r w:rsidR="00E53521">
          <w:rPr>
            <w:noProof/>
            <w:webHidden/>
          </w:rPr>
        </w:r>
        <w:r w:rsidR="00E53521">
          <w:rPr>
            <w:noProof/>
            <w:webHidden/>
          </w:rPr>
          <w:fldChar w:fldCharType="separate"/>
        </w:r>
        <w:r w:rsidR="00E53521">
          <w:rPr>
            <w:noProof/>
            <w:webHidden/>
          </w:rPr>
          <w:t>11</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7" w:history="1">
        <w:r w:rsidR="00E53521" w:rsidRPr="00F16730">
          <w:rPr>
            <w:rStyle w:val="Hyperlink"/>
            <w:noProof/>
          </w:rPr>
          <w:t>Table 6. Land-ecosystem asset account - Victorian land classified by Major Vegetation Groups (NVIS), aggregated by land use (VLUIS, 2005)</w:t>
        </w:r>
        <w:r w:rsidR="00E53521">
          <w:rPr>
            <w:noProof/>
            <w:webHidden/>
          </w:rPr>
          <w:tab/>
        </w:r>
        <w:r w:rsidR="00E53521">
          <w:rPr>
            <w:noProof/>
            <w:webHidden/>
          </w:rPr>
          <w:fldChar w:fldCharType="begin"/>
        </w:r>
        <w:r w:rsidR="00E53521">
          <w:rPr>
            <w:noProof/>
            <w:webHidden/>
          </w:rPr>
          <w:instrText xml:space="preserve"> PAGEREF _Toc352141257 \h </w:instrText>
        </w:r>
        <w:r w:rsidR="00E53521">
          <w:rPr>
            <w:noProof/>
            <w:webHidden/>
          </w:rPr>
        </w:r>
        <w:r w:rsidR="00E53521">
          <w:rPr>
            <w:noProof/>
            <w:webHidden/>
          </w:rPr>
          <w:fldChar w:fldCharType="separate"/>
        </w:r>
        <w:r w:rsidR="00E53521">
          <w:rPr>
            <w:noProof/>
            <w:webHidden/>
          </w:rPr>
          <w:t>11</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8" w:history="1">
        <w:r w:rsidR="00E53521" w:rsidRPr="00F16730">
          <w:rPr>
            <w:rStyle w:val="Hyperlink"/>
            <w:noProof/>
          </w:rPr>
          <w:t>Table 7. Victorian wetland extent and condition classified by wetland system and origin: 1750, 1994, 2012</w:t>
        </w:r>
        <w:r w:rsidR="00E53521">
          <w:rPr>
            <w:noProof/>
            <w:webHidden/>
          </w:rPr>
          <w:tab/>
        </w:r>
        <w:r w:rsidR="00E53521">
          <w:rPr>
            <w:noProof/>
            <w:webHidden/>
          </w:rPr>
          <w:fldChar w:fldCharType="begin"/>
        </w:r>
        <w:r w:rsidR="00E53521">
          <w:rPr>
            <w:noProof/>
            <w:webHidden/>
          </w:rPr>
          <w:instrText xml:space="preserve"> PAGEREF _Toc352141258 \h </w:instrText>
        </w:r>
        <w:r w:rsidR="00E53521">
          <w:rPr>
            <w:noProof/>
            <w:webHidden/>
          </w:rPr>
        </w:r>
        <w:r w:rsidR="00E53521">
          <w:rPr>
            <w:noProof/>
            <w:webHidden/>
          </w:rPr>
          <w:fldChar w:fldCharType="separate"/>
        </w:r>
        <w:r w:rsidR="00E53521">
          <w:rPr>
            <w:noProof/>
            <w:webHidden/>
          </w:rPr>
          <w:t>12</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59" w:history="1">
        <w:r w:rsidR="00E53521" w:rsidRPr="00F16730">
          <w:rPr>
            <w:rStyle w:val="Hyperlink"/>
            <w:noProof/>
          </w:rPr>
          <w:t>Table 8. Victorian river reaches length and condition classified by river basin: 1750, 2004</w:t>
        </w:r>
        <w:r w:rsidR="00E53521">
          <w:rPr>
            <w:noProof/>
            <w:webHidden/>
          </w:rPr>
          <w:tab/>
        </w:r>
        <w:r w:rsidR="00E53521">
          <w:rPr>
            <w:noProof/>
            <w:webHidden/>
          </w:rPr>
          <w:fldChar w:fldCharType="begin"/>
        </w:r>
        <w:r w:rsidR="00E53521">
          <w:rPr>
            <w:noProof/>
            <w:webHidden/>
          </w:rPr>
          <w:instrText xml:space="preserve"> PAGEREF _Toc352141259 \h </w:instrText>
        </w:r>
        <w:r w:rsidR="00E53521">
          <w:rPr>
            <w:noProof/>
            <w:webHidden/>
          </w:rPr>
        </w:r>
        <w:r w:rsidR="00E53521">
          <w:rPr>
            <w:noProof/>
            <w:webHidden/>
          </w:rPr>
          <w:fldChar w:fldCharType="separate"/>
        </w:r>
        <w:r w:rsidR="00E53521">
          <w:rPr>
            <w:noProof/>
            <w:webHidden/>
          </w:rPr>
          <w:t>13</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0" w:history="1">
        <w:r w:rsidR="00E53521" w:rsidRPr="00F16730">
          <w:rPr>
            <w:rStyle w:val="Hyperlink"/>
            <w:noProof/>
          </w:rPr>
          <w:t>Table 9. Change in Victorian extent of terrestrial vegetation between 1994 to 2004, disaggregated by land tenure</w:t>
        </w:r>
        <w:r w:rsidR="00E53521">
          <w:rPr>
            <w:noProof/>
            <w:webHidden/>
          </w:rPr>
          <w:tab/>
        </w:r>
        <w:r w:rsidR="00E53521">
          <w:rPr>
            <w:noProof/>
            <w:webHidden/>
          </w:rPr>
          <w:fldChar w:fldCharType="begin"/>
        </w:r>
        <w:r w:rsidR="00E53521">
          <w:rPr>
            <w:noProof/>
            <w:webHidden/>
          </w:rPr>
          <w:instrText xml:space="preserve"> PAGEREF _Toc352141260 \h </w:instrText>
        </w:r>
        <w:r w:rsidR="00E53521">
          <w:rPr>
            <w:noProof/>
            <w:webHidden/>
          </w:rPr>
        </w:r>
        <w:r w:rsidR="00E53521">
          <w:rPr>
            <w:noProof/>
            <w:webHidden/>
          </w:rPr>
          <w:fldChar w:fldCharType="separate"/>
        </w:r>
        <w:r w:rsidR="00E53521">
          <w:rPr>
            <w:noProof/>
            <w:webHidden/>
          </w:rPr>
          <w:t>14</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1" w:history="1">
        <w:r w:rsidR="00E53521" w:rsidRPr="00F16730">
          <w:rPr>
            <w:rStyle w:val="Hyperlink"/>
            <w:noProof/>
          </w:rPr>
          <w:t>Table 10. Victorian terrestrial extent and inter-ecosystem flows classified by Major Vegetation Group (NVIS): 1750, 2005</w:t>
        </w:r>
        <w:r w:rsidR="00E53521">
          <w:rPr>
            <w:noProof/>
            <w:webHidden/>
          </w:rPr>
          <w:tab/>
        </w:r>
        <w:r w:rsidR="00E53521">
          <w:rPr>
            <w:noProof/>
            <w:webHidden/>
          </w:rPr>
          <w:fldChar w:fldCharType="begin"/>
        </w:r>
        <w:r w:rsidR="00E53521">
          <w:rPr>
            <w:noProof/>
            <w:webHidden/>
          </w:rPr>
          <w:instrText xml:space="preserve"> PAGEREF _Toc352141261 \h </w:instrText>
        </w:r>
        <w:r w:rsidR="00E53521">
          <w:rPr>
            <w:noProof/>
            <w:webHidden/>
          </w:rPr>
        </w:r>
        <w:r w:rsidR="00E53521">
          <w:rPr>
            <w:noProof/>
            <w:webHidden/>
          </w:rPr>
          <w:fldChar w:fldCharType="separate"/>
        </w:r>
        <w:r w:rsidR="00E53521">
          <w:rPr>
            <w:noProof/>
            <w:webHidden/>
          </w:rPr>
          <w:t>16</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2" w:history="1">
        <w:r w:rsidR="00E53521" w:rsidRPr="00F16730">
          <w:rPr>
            <w:rStyle w:val="Hyperlink"/>
            <w:noProof/>
          </w:rPr>
          <w:t>Table 11  Victorian terrestrial extent and indexed measurements indicative of ecosystem services:  2005</w:t>
        </w:r>
        <w:r w:rsidR="00E53521">
          <w:rPr>
            <w:noProof/>
            <w:webHidden/>
          </w:rPr>
          <w:tab/>
        </w:r>
        <w:r w:rsidR="00E53521">
          <w:rPr>
            <w:noProof/>
            <w:webHidden/>
          </w:rPr>
          <w:fldChar w:fldCharType="begin"/>
        </w:r>
        <w:r w:rsidR="00E53521">
          <w:rPr>
            <w:noProof/>
            <w:webHidden/>
          </w:rPr>
          <w:instrText xml:space="preserve"> PAGEREF _Toc352141262 \h </w:instrText>
        </w:r>
        <w:r w:rsidR="00E53521">
          <w:rPr>
            <w:noProof/>
            <w:webHidden/>
          </w:rPr>
        </w:r>
        <w:r w:rsidR="00E53521">
          <w:rPr>
            <w:noProof/>
            <w:webHidden/>
          </w:rPr>
          <w:fldChar w:fldCharType="separate"/>
        </w:r>
        <w:r w:rsidR="00E53521">
          <w:rPr>
            <w:noProof/>
            <w:webHidden/>
          </w:rPr>
          <w:t>17</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3" w:history="1">
        <w:r w:rsidR="00E53521" w:rsidRPr="00F16730">
          <w:rPr>
            <w:rStyle w:val="Hyperlink"/>
            <w:noProof/>
          </w:rPr>
          <w:t>Table 12. Change in Victorian terrestrial inter-ecosystem flows between 1994 to 2004</w:t>
        </w:r>
        <w:r w:rsidR="00E53521">
          <w:rPr>
            <w:noProof/>
            <w:webHidden/>
          </w:rPr>
          <w:tab/>
        </w:r>
        <w:r w:rsidR="00E53521">
          <w:rPr>
            <w:noProof/>
            <w:webHidden/>
          </w:rPr>
          <w:fldChar w:fldCharType="begin"/>
        </w:r>
        <w:r w:rsidR="00E53521">
          <w:rPr>
            <w:noProof/>
            <w:webHidden/>
          </w:rPr>
          <w:instrText xml:space="preserve"> PAGEREF _Toc352141263 \h </w:instrText>
        </w:r>
        <w:r w:rsidR="00E53521">
          <w:rPr>
            <w:noProof/>
            <w:webHidden/>
          </w:rPr>
        </w:r>
        <w:r w:rsidR="00E53521">
          <w:rPr>
            <w:noProof/>
            <w:webHidden/>
          </w:rPr>
          <w:fldChar w:fldCharType="separate"/>
        </w:r>
        <w:r w:rsidR="00E53521">
          <w:rPr>
            <w:noProof/>
            <w:webHidden/>
          </w:rPr>
          <w:t>18</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4" w:history="1">
        <w:r w:rsidR="00E53521" w:rsidRPr="00F16730">
          <w:rPr>
            <w:rStyle w:val="Hyperlink"/>
            <w:noProof/>
          </w:rPr>
          <w:t>Table 13. Land Asset Flow Account, disaggregated by land use</w:t>
        </w:r>
        <w:r w:rsidR="00E53521">
          <w:rPr>
            <w:noProof/>
            <w:webHidden/>
          </w:rPr>
          <w:tab/>
        </w:r>
        <w:r w:rsidR="00E53521">
          <w:rPr>
            <w:noProof/>
            <w:webHidden/>
          </w:rPr>
          <w:fldChar w:fldCharType="begin"/>
        </w:r>
        <w:r w:rsidR="00E53521">
          <w:rPr>
            <w:noProof/>
            <w:webHidden/>
          </w:rPr>
          <w:instrText xml:space="preserve"> PAGEREF _Toc352141264 \h </w:instrText>
        </w:r>
        <w:r w:rsidR="00E53521">
          <w:rPr>
            <w:noProof/>
            <w:webHidden/>
          </w:rPr>
        </w:r>
        <w:r w:rsidR="00E53521">
          <w:rPr>
            <w:noProof/>
            <w:webHidden/>
          </w:rPr>
          <w:fldChar w:fldCharType="separate"/>
        </w:r>
        <w:r w:rsidR="00E53521">
          <w:rPr>
            <w:noProof/>
            <w:webHidden/>
          </w:rPr>
          <w:t>19</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5" w:history="1">
        <w:r w:rsidR="00E53521" w:rsidRPr="00F16730">
          <w:rPr>
            <w:rStyle w:val="Hyperlink"/>
            <w:noProof/>
          </w:rPr>
          <w:t>Table 14. Ecosystem service flow account, by land use, 2010 and 2015 (predicted)</w:t>
        </w:r>
        <w:r w:rsidR="00E53521">
          <w:rPr>
            <w:noProof/>
            <w:webHidden/>
          </w:rPr>
          <w:tab/>
        </w:r>
        <w:r w:rsidR="00E53521">
          <w:rPr>
            <w:noProof/>
            <w:webHidden/>
          </w:rPr>
          <w:fldChar w:fldCharType="begin"/>
        </w:r>
        <w:r w:rsidR="00E53521">
          <w:rPr>
            <w:noProof/>
            <w:webHidden/>
          </w:rPr>
          <w:instrText xml:space="preserve"> PAGEREF _Toc352141265 \h </w:instrText>
        </w:r>
        <w:r w:rsidR="00E53521">
          <w:rPr>
            <w:noProof/>
            <w:webHidden/>
          </w:rPr>
        </w:r>
        <w:r w:rsidR="00E53521">
          <w:rPr>
            <w:noProof/>
            <w:webHidden/>
          </w:rPr>
          <w:fldChar w:fldCharType="separate"/>
        </w:r>
        <w:r w:rsidR="00E53521">
          <w:rPr>
            <w:noProof/>
            <w:webHidden/>
          </w:rPr>
          <w:t>20</w:t>
        </w:r>
        <w:r w:rsidR="00E53521">
          <w:rPr>
            <w:noProof/>
            <w:webHidden/>
          </w:rPr>
          <w:fldChar w:fldCharType="end"/>
        </w:r>
      </w:hyperlink>
    </w:p>
    <w:p w:rsidR="00B121B4" w:rsidRPr="008C7FCC" w:rsidRDefault="003F4DA9" w:rsidP="003F4DA9">
      <w:pPr>
        <w:pStyle w:val="TOC2"/>
        <w:rPr>
          <w:rStyle w:val="Hyperlink"/>
          <w:noProof w:val="0"/>
        </w:rPr>
      </w:pPr>
      <w:r w:rsidRPr="008C7FCC">
        <w:rPr>
          <w:rStyle w:val="Hyperlink"/>
          <w:rFonts w:cs="Arial"/>
          <w:noProof w:val="0"/>
          <w:szCs w:val="24"/>
        </w:rPr>
        <w:fldChar w:fldCharType="end"/>
      </w:r>
    </w:p>
    <w:p w:rsidR="003F4DA9" w:rsidRPr="008C7FCC" w:rsidRDefault="00FA47D1" w:rsidP="00C65FCD">
      <w:pPr>
        <w:pStyle w:val="DSEHB"/>
      </w:pPr>
      <w:bookmarkStart w:id="4" w:name="_Toc352141271"/>
      <w:r w:rsidRPr="008C7FCC">
        <w:t xml:space="preserve">List of </w:t>
      </w:r>
      <w:r w:rsidR="00B121B4" w:rsidRPr="008C7FCC">
        <w:t>Figures</w:t>
      </w:r>
      <w:bookmarkEnd w:id="4"/>
    </w:p>
    <w:p w:rsidR="00E53521" w:rsidRDefault="00071E30">
      <w:pPr>
        <w:pStyle w:val="TableofFigures"/>
        <w:tabs>
          <w:tab w:val="right" w:leader="dot" w:pos="9629"/>
        </w:tabs>
        <w:rPr>
          <w:rFonts w:asciiTheme="minorHAnsi" w:eastAsiaTheme="minorEastAsia" w:hAnsiTheme="minorHAnsi" w:cstheme="minorBidi"/>
          <w:noProof/>
          <w:sz w:val="22"/>
          <w:szCs w:val="22"/>
          <w:lang w:eastAsia="en-AU"/>
        </w:rPr>
      </w:pPr>
      <w:r w:rsidRPr="008C7FCC">
        <w:rPr>
          <w:rStyle w:val="Hyperlink"/>
        </w:rPr>
        <w:fldChar w:fldCharType="begin"/>
      </w:r>
      <w:r w:rsidRPr="008C7FCC">
        <w:rPr>
          <w:rStyle w:val="Hyperlink"/>
        </w:rPr>
        <w:instrText xml:space="preserve"> TOC \h \z \c "Figure" </w:instrText>
      </w:r>
      <w:r w:rsidRPr="008C7FCC">
        <w:rPr>
          <w:rStyle w:val="Hyperlink"/>
        </w:rPr>
        <w:fldChar w:fldCharType="separate"/>
      </w:r>
      <w:hyperlink w:anchor="_Toc352141266" w:history="1">
        <w:r w:rsidR="00E53521" w:rsidRPr="00DD2854">
          <w:rPr>
            <w:rStyle w:val="Hyperlink"/>
            <w:noProof/>
          </w:rPr>
          <w:t>Figure 1. Ecosystem flows and services</w:t>
        </w:r>
        <w:r w:rsidR="00E53521">
          <w:rPr>
            <w:noProof/>
            <w:webHidden/>
          </w:rPr>
          <w:tab/>
        </w:r>
        <w:r w:rsidR="00E53521">
          <w:rPr>
            <w:noProof/>
            <w:webHidden/>
          </w:rPr>
          <w:fldChar w:fldCharType="begin"/>
        </w:r>
        <w:r w:rsidR="00E53521">
          <w:rPr>
            <w:noProof/>
            <w:webHidden/>
          </w:rPr>
          <w:instrText xml:space="preserve"> PAGEREF _Toc352141266 \h </w:instrText>
        </w:r>
        <w:r w:rsidR="00E53521">
          <w:rPr>
            <w:noProof/>
            <w:webHidden/>
          </w:rPr>
        </w:r>
        <w:r w:rsidR="00E53521">
          <w:rPr>
            <w:noProof/>
            <w:webHidden/>
          </w:rPr>
          <w:fldChar w:fldCharType="separate"/>
        </w:r>
        <w:r w:rsidR="00E53521">
          <w:rPr>
            <w:noProof/>
            <w:webHidden/>
          </w:rPr>
          <w:t>2</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7" w:history="1">
        <w:r w:rsidR="00E53521" w:rsidRPr="00DD2854">
          <w:rPr>
            <w:rStyle w:val="Hyperlink"/>
            <w:noProof/>
          </w:rPr>
          <w:t>Figure 2. Catchment management regions in Victoria</w:t>
        </w:r>
        <w:r w:rsidR="00E53521">
          <w:rPr>
            <w:noProof/>
            <w:webHidden/>
          </w:rPr>
          <w:tab/>
        </w:r>
        <w:r w:rsidR="00E53521">
          <w:rPr>
            <w:noProof/>
            <w:webHidden/>
          </w:rPr>
          <w:fldChar w:fldCharType="begin"/>
        </w:r>
        <w:r w:rsidR="00E53521">
          <w:rPr>
            <w:noProof/>
            <w:webHidden/>
          </w:rPr>
          <w:instrText xml:space="preserve"> PAGEREF _Toc352141267 \h </w:instrText>
        </w:r>
        <w:r w:rsidR="00E53521">
          <w:rPr>
            <w:noProof/>
            <w:webHidden/>
          </w:rPr>
        </w:r>
        <w:r w:rsidR="00E53521">
          <w:rPr>
            <w:noProof/>
            <w:webHidden/>
          </w:rPr>
          <w:fldChar w:fldCharType="separate"/>
        </w:r>
        <w:r w:rsidR="00E53521">
          <w:rPr>
            <w:noProof/>
            <w:webHidden/>
          </w:rPr>
          <w:t>6</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8" w:history="1">
        <w:r w:rsidR="00E53521" w:rsidRPr="00DD2854">
          <w:rPr>
            <w:rStyle w:val="Hyperlink"/>
            <w:noProof/>
          </w:rPr>
          <w:t>Figure 3. Bioregions in Victoria</w:t>
        </w:r>
        <w:r w:rsidR="00E53521">
          <w:rPr>
            <w:noProof/>
            <w:webHidden/>
          </w:rPr>
          <w:tab/>
        </w:r>
        <w:r w:rsidR="00E53521">
          <w:rPr>
            <w:noProof/>
            <w:webHidden/>
          </w:rPr>
          <w:fldChar w:fldCharType="begin"/>
        </w:r>
        <w:r w:rsidR="00E53521">
          <w:rPr>
            <w:noProof/>
            <w:webHidden/>
          </w:rPr>
          <w:instrText xml:space="preserve"> PAGEREF _Toc352141268 \h </w:instrText>
        </w:r>
        <w:r w:rsidR="00E53521">
          <w:rPr>
            <w:noProof/>
            <w:webHidden/>
          </w:rPr>
        </w:r>
        <w:r w:rsidR="00E53521">
          <w:rPr>
            <w:noProof/>
            <w:webHidden/>
          </w:rPr>
          <w:fldChar w:fldCharType="separate"/>
        </w:r>
        <w:r w:rsidR="00E53521">
          <w:rPr>
            <w:noProof/>
            <w:webHidden/>
          </w:rPr>
          <w:t>7</w:t>
        </w:r>
        <w:r w:rsidR="00E53521">
          <w:rPr>
            <w:noProof/>
            <w:webHidden/>
          </w:rPr>
          <w:fldChar w:fldCharType="end"/>
        </w:r>
      </w:hyperlink>
    </w:p>
    <w:p w:rsidR="00E53521" w:rsidRDefault="002A5794">
      <w:pPr>
        <w:pStyle w:val="TableofFigures"/>
        <w:tabs>
          <w:tab w:val="right" w:leader="dot" w:pos="9629"/>
        </w:tabs>
        <w:rPr>
          <w:rFonts w:asciiTheme="minorHAnsi" w:eastAsiaTheme="minorEastAsia" w:hAnsiTheme="minorHAnsi" w:cstheme="minorBidi"/>
          <w:noProof/>
          <w:sz w:val="22"/>
          <w:szCs w:val="22"/>
          <w:lang w:eastAsia="en-AU"/>
        </w:rPr>
      </w:pPr>
      <w:hyperlink w:anchor="_Toc352141269" w:history="1">
        <w:r w:rsidR="00E53521" w:rsidRPr="00DD2854">
          <w:rPr>
            <w:rStyle w:val="Hyperlink"/>
            <w:noProof/>
          </w:rPr>
          <w:t>Figure 4  Terrestrial vegetation and extent superimposed on map of land values by CMA</w:t>
        </w:r>
        <w:r w:rsidR="00E53521">
          <w:rPr>
            <w:noProof/>
            <w:webHidden/>
          </w:rPr>
          <w:tab/>
        </w:r>
        <w:r w:rsidR="00E53521">
          <w:rPr>
            <w:noProof/>
            <w:webHidden/>
          </w:rPr>
          <w:fldChar w:fldCharType="begin"/>
        </w:r>
        <w:r w:rsidR="00E53521">
          <w:rPr>
            <w:noProof/>
            <w:webHidden/>
          </w:rPr>
          <w:instrText xml:space="preserve"> PAGEREF _Toc352141269 \h </w:instrText>
        </w:r>
        <w:r w:rsidR="00E53521">
          <w:rPr>
            <w:noProof/>
            <w:webHidden/>
          </w:rPr>
        </w:r>
        <w:r w:rsidR="00E53521">
          <w:rPr>
            <w:noProof/>
            <w:webHidden/>
          </w:rPr>
          <w:fldChar w:fldCharType="separate"/>
        </w:r>
        <w:r w:rsidR="00E53521">
          <w:rPr>
            <w:noProof/>
            <w:webHidden/>
          </w:rPr>
          <w:t>9</w:t>
        </w:r>
        <w:r w:rsidR="00E53521">
          <w:rPr>
            <w:noProof/>
            <w:webHidden/>
          </w:rPr>
          <w:fldChar w:fldCharType="end"/>
        </w:r>
      </w:hyperlink>
    </w:p>
    <w:p w:rsidR="009B1805" w:rsidRPr="008C7FCC" w:rsidRDefault="00071E30" w:rsidP="003F4DA9">
      <w:pPr>
        <w:pStyle w:val="TOC2"/>
        <w:rPr>
          <w:noProof w:val="0"/>
        </w:rPr>
      </w:pPr>
      <w:r w:rsidRPr="008C7FCC">
        <w:rPr>
          <w:rStyle w:val="Hyperlink"/>
          <w:rFonts w:cs="Arial"/>
          <w:noProof w:val="0"/>
          <w:szCs w:val="24"/>
        </w:rPr>
        <w:fldChar w:fldCharType="end"/>
      </w:r>
    </w:p>
    <w:p w:rsidR="003B3138" w:rsidRPr="008C7FCC" w:rsidRDefault="003B3138" w:rsidP="00991C27">
      <w:pPr>
        <w:pStyle w:val="DSEBody"/>
      </w:pPr>
    </w:p>
    <w:p w:rsidR="004B3841" w:rsidRPr="008C7FCC" w:rsidRDefault="004B3841" w:rsidP="00991C27">
      <w:pPr>
        <w:pStyle w:val="DSEBody"/>
      </w:pPr>
    </w:p>
    <w:p w:rsidR="00B3061B" w:rsidRPr="008C7FCC" w:rsidRDefault="00B3061B" w:rsidP="00852A30">
      <w:pPr>
        <w:pStyle w:val="DSEHA"/>
        <w:rPr>
          <w:lang w:val="en-AU"/>
        </w:rPr>
        <w:sectPr w:rsidR="00B3061B" w:rsidRPr="008C7FCC" w:rsidSect="00C6256A">
          <w:footerReference w:type="default" r:id="rId19"/>
          <w:headerReference w:type="first" r:id="rId20"/>
          <w:footerReference w:type="first" r:id="rId21"/>
          <w:pgSz w:w="11907" w:h="16840" w:code="9"/>
          <w:pgMar w:top="1134" w:right="1134" w:bottom="426" w:left="1134" w:header="709" w:footer="567" w:gutter="0"/>
          <w:pgNumType w:fmt="lowerRoman" w:start="1"/>
          <w:cols w:space="708"/>
          <w:formProt w:val="0"/>
          <w:titlePg/>
          <w:docGrid w:linePitch="360"/>
        </w:sectPr>
      </w:pPr>
    </w:p>
    <w:p w:rsidR="00991C27" w:rsidRPr="008C7FCC" w:rsidRDefault="00D452E2" w:rsidP="00607A4C">
      <w:pPr>
        <w:pStyle w:val="DSEHA"/>
        <w:rPr>
          <w:lang w:val="en-AU"/>
        </w:rPr>
      </w:pPr>
      <w:bookmarkStart w:id="5" w:name="_Toc352141272"/>
      <w:r w:rsidRPr="008C7FCC">
        <w:rPr>
          <w:lang w:val="en-AU"/>
        </w:rPr>
        <w:lastRenderedPageBreak/>
        <w:t>Introduction</w:t>
      </w:r>
      <w:bookmarkEnd w:id="5"/>
    </w:p>
    <w:p w:rsidR="00D452E2" w:rsidRPr="008C7FCC" w:rsidRDefault="00D452E2" w:rsidP="00883105">
      <w:pPr>
        <w:pStyle w:val="DSEPullout"/>
        <w:rPr>
          <w:b/>
        </w:rPr>
      </w:pPr>
      <w:r w:rsidRPr="008C7FCC">
        <w:t xml:space="preserve">The development of an ecosystem accounting framework evolved from a need to integrate environmental and economic information to inform policy discussion in a range of areas. </w:t>
      </w:r>
    </w:p>
    <w:p w:rsidR="00D452E2" w:rsidRPr="008C7FCC" w:rsidRDefault="00D452E2" w:rsidP="00CA7218">
      <w:pPr>
        <w:pStyle w:val="DSEBody"/>
      </w:pPr>
      <w:r w:rsidRPr="008C7FCC">
        <w:t>The policy relevance of ecosystem accounting for economic and environmental assessments stems from the understanding that policy responses should recognise the fundamental connections between economic activity and ecosystems</w:t>
      </w:r>
      <w:r w:rsidRPr="008C7FCC">
        <w:rPr>
          <w:rStyle w:val="EndnoteReference"/>
        </w:rPr>
        <w:endnoteReference w:id="1"/>
      </w:r>
      <w:r w:rsidRPr="008C7FCC">
        <w:t xml:space="preserve">. Increasingly, policy in different areas of public concern is being considered in a more integrated, multi-disciplinary fashion with economic, social and environmental factors being assessed jointly when determining appropriate policy responses. </w:t>
      </w:r>
    </w:p>
    <w:p w:rsidR="00D452E2" w:rsidRPr="008C7FCC" w:rsidRDefault="00D452E2" w:rsidP="00CA7218">
      <w:pPr>
        <w:pStyle w:val="DSEBody"/>
      </w:pPr>
      <w:r w:rsidRPr="008C7FCC">
        <w:t>Environmental-economic accounting has been under development internationally for more than two decades, with the first handbook released by the United Nations (UN) and other international organisations in 1993. After a major revision to the handbook in 2003, and several minor revisions thereafter, the System of Environmental-Economic Accounting: Central Framework (SEEA: CF) was adopted in 2012 as an international statistical standard by the United Nations Statistical Commission. This put Environmental-Economic Accounting at the same level as the System of National Accounts, which among other things, provides the framework for the measurement of gross domestic product (GDP).</w:t>
      </w:r>
    </w:p>
    <w:p w:rsidR="00D452E2" w:rsidRPr="008C7FCC" w:rsidRDefault="00D452E2" w:rsidP="00CA7218">
      <w:pPr>
        <w:pStyle w:val="DSEBody"/>
      </w:pPr>
      <w:r w:rsidRPr="008C7FCC">
        <w:t xml:space="preserve">This year the UN added Experimental Ecosystem Accounts (SEEA: EEA) to the SEEA family of publications.  The Experimental Ecosystem Accounts build on the SEEA: CF by recognising that the environment operates as a system. For example, it recognises that the extraction of timber from a forest will have implications on the services provided by the forest to society, like air filtration and water filtration. </w:t>
      </w:r>
    </w:p>
    <w:p w:rsidR="00D452E2" w:rsidRPr="008C7FCC" w:rsidRDefault="00D452E2" w:rsidP="00CA7218">
      <w:pPr>
        <w:pStyle w:val="DSEBody"/>
      </w:pPr>
      <w:r w:rsidRPr="008C7FCC">
        <w:t xml:space="preserve">The Victorian Government, through the Department of Sustainability and Environment (DSE), has contributed extensively to the development of </w:t>
      </w:r>
      <w:r w:rsidR="00883105" w:rsidRPr="008C7FCC">
        <w:t>SEEA: EEA</w:t>
      </w:r>
      <w:r w:rsidRPr="008C7FCC">
        <w:t xml:space="preserve">, working closely with the Australian Bureau of Statistics and others in Australia and internationally. For the past ten years, DSE has established the information systems required for government to make cost-effective investments in the provision of ecosystem services. These systems have relied on an extensive array of information including spatial layers, ecosystem condition assessments, ecosystem condition modelling, ecosystem service modelling and ecosystem change modelling. As a result of these systems, innovative investment approaches like market-based instruments are now commonplace in Victoria. This unique experience and data availability allows DSE to </w:t>
      </w:r>
      <w:r w:rsidR="00D5541D" w:rsidRPr="008C7FCC">
        <w:t>experiment with</w:t>
      </w:r>
      <w:r w:rsidRPr="008C7FCC">
        <w:t xml:space="preserve"> the SEEA: EEA framework and to critique its on-ground feasibility and usefulness. </w:t>
      </w:r>
    </w:p>
    <w:p w:rsidR="00D452E2" w:rsidRPr="008C7FCC" w:rsidRDefault="00D452E2" w:rsidP="00CA7218">
      <w:pPr>
        <w:pStyle w:val="DSEBody"/>
        <w:rPr>
          <w:b/>
        </w:rPr>
      </w:pPr>
      <w:r w:rsidRPr="008C7FCC">
        <w:t xml:space="preserve">This paper presents a series of </w:t>
      </w:r>
      <w:r w:rsidR="00883105" w:rsidRPr="008C7FCC">
        <w:t>e</w:t>
      </w:r>
      <w:r w:rsidRPr="008C7FCC">
        <w:t xml:space="preserve">xperimental </w:t>
      </w:r>
      <w:r w:rsidR="00883105" w:rsidRPr="008C7FCC">
        <w:t>e</w:t>
      </w:r>
      <w:r w:rsidRPr="008C7FCC">
        <w:t xml:space="preserve">cosystem </w:t>
      </w:r>
      <w:r w:rsidR="00883105" w:rsidRPr="008C7FCC">
        <w:t>a</w:t>
      </w:r>
      <w:r w:rsidRPr="008C7FCC">
        <w:t>ccounts that follow the SEEA: EEA framework using datasets relevant to Victoria. The paper provides a brief overview of the accounting framework applied to develop the Victorian Experimental Ecosystem Accounts. There is a short discussion on how DSE has approached some complex concepts (e.g. ecosystem “flows”) that are necessary to build a complete set of accounts. Finally, the series of Victorian Experimental Ecosystem Accounts is presented.</w:t>
      </w:r>
    </w:p>
    <w:p w:rsidR="00D452E2" w:rsidRPr="008C7FCC" w:rsidRDefault="00D452E2" w:rsidP="00D452E2">
      <w:pPr>
        <w:pStyle w:val="DSEHB"/>
        <w:rPr>
          <w:b w:val="0"/>
          <w:color w:val="auto"/>
          <w:sz w:val="18"/>
        </w:rPr>
      </w:pPr>
    </w:p>
    <w:p w:rsidR="00D452E2" w:rsidRPr="008C7FCC" w:rsidRDefault="00D452E2" w:rsidP="00CA7218">
      <w:pPr>
        <w:pStyle w:val="DSEHA"/>
        <w:rPr>
          <w:lang w:val="en-AU"/>
        </w:rPr>
      </w:pPr>
      <w:bookmarkStart w:id="6" w:name="_Toc351859126"/>
      <w:bookmarkStart w:id="7" w:name="_Toc352057259"/>
      <w:bookmarkStart w:id="8" w:name="_Toc352141273"/>
      <w:r w:rsidRPr="008C7FCC">
        <w:rPr>
          <w:lang w:val="en-AU"/>
        </w:rPr>
        <w:t>Accounting Framework</w:t>
      </w:r>
      <w:bookmarkEnd w:id="6"/>
      <w:bookmarkEnd w:id="7"/>
      <w:bookmarkEnd w:id="8"/>
    </w:p>
    <w:p w:rsidR="00CA7218" w:rsidRPr="008C7FCC" w:rsidRDefault="00D452E2" w:rsidP="00CA7218">
      <w:pPr>
        <w:pStyle w:val="DSEPullout"/>
      </w:pPr>
      <w:r w:rsidRPr="008C7FCC">
        <w:t xml:space="preserve">Newly-established frameworks often give rise to a set of new concepts and terminologies.  This section provides an overview of the concepts and terms associated with ecosystem accounting.  </w:t>
      </w:r>
    </w:p>
    <w:p w:rsidR="00D452E2" w:rsidRPr="008C7FCC" w:rsidRDefault="00D452E2" w:rsidP="00CA7218">
      <w:pPr>
        <w:pStyle w:val="DSEBody"/>
      </w:pPr>
      <w:r w:rsidRPr="008C7FCC">
        <w:t>Due to the experimental nature of environmental-economic accounting, some concepts and terms are still being debated. The concepts of ‘environmental accounting’ and ‘ecosystem accounting’, and the terms ‘ecosystem asset’, ‘ecosystem services’</w:t>
      </w:r>
      <w:r w:rsidR="00986A02">
        <w:t>,</w:t>
      </w:r>
      <w:r w:rsidRPr="008C7FCC">
        <w:t xml:space="preserve"> ‘ecosystem intra-flows’ and ‘ecosystem inter-flows’ are described here from the perspective of the approach used in </w:t>
      </w:r>
      <w:r w:rsidR="00883105" w:rsidRPr="008C7FCC">
        <w:t xml:space="preserve">the </w:t>
      </w:r>
      <w:r w:rsidRPr="008C7FCC">
        <w:t>Victorian Experimental Ecosystem Account</w:t>
      </w:r>
      <w:r w:rsidR="00883105" w:rsidRPr="008C7FCC">
        <w:t>s</w:t>
      </w:r>
      <w:r w:rsidRPr="008C7FCC">
        <w:t xml:space="preserve">. This paper does not seek to critique alternative descriptions and approaches, but to highlight the applicability of the chosen methodology. </w:t>
      </w:r>
    </w:p>
    <w:p w:rsidR="00D452E2" w:rsidRPr="008C7FCC" w:rsidRDefault="00D452E2" w:rsidP="00883105">
      <w:pPr>
        <w:pStyle w:val="DSEHB"/>
      </w:pPr>
      <w:bookmarkStart w:id="9" w:name="_Toc352141274"/>
      <w:r w:rsidRPr="008C7FCC">
        <w:t>Environmental asset accounting</w:t>
      </w:r>
      <w:bookmarkEnd w:id="9"/>
      <w:r w:rsidRPr="008C7FCC">
        <w:t xml:space="preserve"> </w:t>
      </w:r>
    </w:p>
    <w:p w:rsidR="00D452E2" w:rsidRPr="008C7FCC" w:rsidRDefault="00D452E2" w:rsidP="00D452E2">
      <w:pPr>
        <w:pStyle w:val="DSEBody"/>
      </w:pPr>
      <w:r w:rsidRPr="008C7FCC">
        <w:t>Environmental asset accounting is an accounting framework applied in the SEEA: CF to monitor the physical and monetary stocks and flows of environmental assets. Environmental assets are naturally-occurring living and non-living components of the Earth, together comprising the biophysical environment that may provide benefits to humanity</w:t>
      </w:r>
      <w:r w:rsidR="00883105" w:rsidRPr="008C7FCC">
        <w:rPr>
          <w:rStyle w:val="EndnoteReference"/>
        </w:rPr>
        <w:endnoteReference w:id="2"/>
      </w:r>
      <w:r w:rsidRPr="008C7FCC">
        <w:t xml:space="preserve">. In the </w:t>
      </w:r>
      <w:r w:rsidRPr="008C7FCC">
        <w:lastRenderedPageBreak/>
        <w:t xml:space="preserve">environmental asset accounting context, environmental assets are considered in terms of individual components such as mineral and energy resources, land, soil, aquatic, timber </w:t>
      </w:r>
      <w:r w:rsidR="00986A02">
        <w:t xml:space="preserve">and </w:t>
      </w:r>
      <w:r w:rsidRPr="008C7FCC">
        <w:t>other biological and water resources</w:t>
      </w:r>
      <w:r w:rsidR="00883105" w:rsidRPr="008C7FCC">
        <w:rPr>
          <w:rStyle w:val="EndnoteReference"/>
        </w:rPr>
        <w:endnoteReference w:id="3"/>
      </w:r>
      <w:r w:rsidRPr="008C7FCC">
        <w:t xml:space="preserve">.  </w:t>
      </w:r>
    </w:p>
    <w:p w:rsidR="00D452E2" w:rsidRPr="008C7FCC" w:rsidRDefault="00D452E2" w:rsidP="00D452E2">
      <w:pPr>
        <w:pStyle w:val="DSEBody"/>
      </w:pPr>
      <w:r w:rsidRPr="008C7FCC">
        <w:t>A critical component linking ecosystem accounts with economic information are the land acc</w:t>
      </w:r>
      <w:r w:rsidR="00327F01" w:rsidRPr="008C7FCC">
        <w:t xml:space="preserve">ounts. Asset accounts for land </w:t>
      </w:r>
      <w:r w:rsidRPr="008C7FCC">
        <w:t>a</w:t>
      </w:r>
      <w:r w:rsidR="00883105" w:rsidRPr="008C7FCC">
        <w:t>re described in SEEA: CF, s</w:t>
      </w:r>
      <w:r w:rsidRPr="008C7FCC">
        <w:t xml:space="preserve">ection 5.6. This linking is important for ecosystem accounting because land is the fundamental input to terrestrial-based ecosystem services and economic activities, like production, ownership and management, </w:t>
      </w:r>
      <w:r w:rsidR="00E550B6" w:rsidRPr="008C7FCC">
        <w:t xml:space="preserve">and </w:t>
      </w:r>
      <w:r w:rsidRPr="008C7FCC">
        <w:t>can be referenced spatially through land accounts.</w:t>
      </w:r>
    </w:p>
    <w:p w:rsidR="00D452E2" w:rsidRPr="008C7FCC" w:rsidRDefault="00D452E2" w:rsidP="00D452E2">
      <w:pPr>
        <w:pStyle w:val="DSEBody"/>
      </w:pPr>
      <w:r w:rsidRPr="008C7FCC">
        <w:t xml:space="preserve">In late 2012, the Australian Bureau of Statistics (ABS) produced </w:t>
      </w:r>
      <w:r w:rsidRPr="008C7FCC">
        <w:rPr>
          <w:i/>
        </w:rPr>
        <w:t>Land Account: Victoria, Experimental Estimates, 2012</w:t>
      </w:r>
      <w:r w:rsidRPr="008C7FCC">
        <w:t xml:space="preserve"> which contains a set of land accounts for the State of Victoria.  The information provided in th</w:t>
      </w:r>
      <w:r w:rsidR="002A1E40" w:rsidRPr="008C7FCC">
        <w:t>e land</w:t>
      </w:r>
      <w:r w:rsidRPr="008C7FCC">
        <w:t xml:space="preserve"> account</w:t>
      </w:r>
      <w:r w:rsidR="002A1E40" w:rsidRPr="008C7FCC">
        <w:t>s</w:t>
      </w:r>
      <w:r w:rsidRPr="008C7FCC">
        <w:t xml:space="preserve"> provides a link between ecosystems and the economy.  This link is explored in further detail </w:t>
      </w:r>
      <w:r w:rsidR="00883105" w:rsidRPr="008C7FCC">
        <w:t>later in this report</w:t>
      </w:r>
      <w:r w:rsidRPr="008C7FCC">
        <w:t xml:space="preserve">. </w:t>
      </w:r>
    </w:p>
    <w:p w:rsidR="00D452E2" w:rsidRPr="008C7FCC" w:rsidRDefault="00D452E2" w:rsidP="00883105">
      <w:pPr>
        <w:pStyle w:val="DSEHB"/>
      </w:pPr>
      <w:bookmarkStart w:id="10" w:name="_Toc352141275"/>
      <w:r w:rsidRPr="008C7FCC">
        <w:t>Ecosystem accounting</w:t>
      </w:r>
      <w:bookmarkEnd w:id="10"/>
      <w:r w:rsidRPr="008C7FCC">
        <w:t xml:space="preserve"> </w:t>
      </w:r>
    </w:p>
    <w:p w:rsidR="00D452E2" w:rsidRPr="008C7FCC" w:rsidRDefault="00D452E2" w:rsidP="00D452E2">
      <w:pPr>
        <w:pStyle w:val="DSEBody"/>
      </w:pPr>
      <w:r w:rsidRPr="008C7FCC">
        <w:t>Ecosystem accounting is based on the same fundamental biophysical structures as environmental accounting, but with a focus on ecosystem assets and services as a system rather than its separate components</w:t>
      </w:r>
      <w:r w:rsidR="00883105" w:rsidRPr="008C7FCC">
        <w:rPr>
          <w:rStyle w:val="EndnoteReference"/>
        </w:rPr>
        <w:endnoteReference w:id="4"/>
      </w:r>
      <w:r w:rsidRPr="008C7FCC">
        <w:t xml:space="preserve">. </w:t>
      </w:r>
      <w:r w:rsidR="00986A02">
        <w:t>A</w:t>
      </w:r>
      <w:r w:rsidRPr="008C7FCC">
        <w:t>mongst other things,</w:t>
      </w:r>
      <w:r w:rsidR="00986A02">
        <w:t xml:space="preserve"> it aims to</w:t>
      </w:r>
      <w:r w:rsidRPr="008C7FCC">
        <w:t xml:space="preserve"> organise information on the environment from a</w:t>
      </w:r>
      <w:r w:rsidR="00986A02">
        <w:t xml:space="preserve"> spatial perspective describing in a coherent manner</w:t>
      </w:r>
      <w:r w:rsidRPr="008C7FCC">
        <w:t xml:space="preserve"> linkages between ecosystems and economic and other human activity. The overarching objective of developing an ecosystem accounting structure is the integration of environmental and economic information to inform policy discussions in a range of areas. </w:t>
      </w:r>
    </w:p>
    <w:p w:rsidR="00D452E2" w:rsidRPr="008C7FCC" w:rsidRDefault="00D452E2" w:rsidP="00D452E2">
      <w:pPr>
        <w:pStyle w:val="DSEBody"/>
      </w:pPr>
      <w:r w:rsidRPr="008C7FCC">
        <w:t>From an ecosystem perspective, ecosystem accounting focuses (i) on the flows of ecosystem services to enable improved understanding of the relationship between ecosystems and economic and other human activity; and (ii) on the stock and changes in stock of ecosystem assets to enable an understanding of changes in ecosystems and their capacity to generate ecosystem services in</w:t>
      </w:r>
      <w:r w:rsidR="00986A02">
        <w:t>to</w:t>
      </w:r>
      <w:r w:rsidRPr="008C7FCC">
        <w:t xml:space="preserve"> the future. Some key terms used in ecosystem accounting are described below.</w:t>
      </w:r>
    </w:p>
    <w:p w:rsidR="00D452E2" w:rsidRPr="008C7FCC" w:rsidRDefault="00D452E2" w:rsidP="00D452E2">
      <w:pPr>
        <w:pStyle w:val="DSEBody"/>
      </w:pPr>
      <w:r w:rsidRPr="008C7FCC">
        <w:rPr>
          <w:b/>
        </w:rPr>
        <w:t>Ecosystem Assets:</w:t>
      </w:r>
      <w:r w:rsidRPr="008C7FCC">
        <w:t xml:space="preserve"> Ecosystem assets are spatial areas containing a combination of biotic and abiotic components and other characteristics that function together</w:t>
      </w:r>
      <w:r w:rsidR="00883105" w:rsidRPr="008C7FCC">
        <w:rPr>
          <w:rStyle w:val="EndnoteReference"/>
        </w:rPr>
        <w:endnoteReference w:id="5"/>
      </w:r>
      <w:r w:rsidRPr="008C7FCC">
        <w:t>. In the SEEA: EEA, ecosystem assets are measured from two perspectives. First, ecosystem assets are considered in terms of ecosystem condition and ecosystem extent. Second, ecosystem assets are considered in terms of expected ecosystem service flows. In general terms, the capacity of an ecosystem asset to generate a basket of ecosystem services can be understood as a function of the condition and the extent of that ecosystem.</w:t>
      </w:r>
    </w:p>
    <w:p w:rsidR="00D452E2" w:rsidRPr="008C7FCC" w:rsidRDefault="00D452E2" w:rsidP="00D452E2">
      <w:pPr>
        <w:pStyle w:val="DSEBody"/>
      </w:pPr>
      <w:r w:rsidRPr="008C7FCC">
        <w:rPr>
          <w:b/>
        </w:rPr>
        <w:t>Ecosystem flows:</w:t>
      </w:r>
      <w:r w:rsidRPr="008C7FCC">
        <w:t xml:space="preserve"> Ecosystem flows represent all ecological transactions that occur within and between ecosystems (</w:t>
      </w:r>
      <w:r w:rsidR="003E003E" w:rsidRPr="008C7FCC">
        <w:fldChar w:fldCharType="begin"/>
      </w:r>
      <w:r w:rsidR="003E003E" w:rsidRPr="008C7FCC">
        <w:instrText xml:space="preserve"> REF _Ref352061023 \h </w:instrText>
      </w:r>
      <w:r w:rsidR="003E003E" w:rsidRPr="008C7FCC">
        <w:fldChar w:fldCharType="separate"/>
      </w:r>
      <w:r w:rsidR="00577A8F" w:rsidRPr="008C7FCC">
        <w:t xml:space="preserve">Figure </w:t>
      </w:r>
      <w:r w:rsidR="00577A8F">
        <w:rPr>
          <w:noProof/>
        </w:rPr>
        <w:t>1</w:t>
      </w:r>
      <w:r w:rsidR="003E003E" w:rsidRPr="008C7FCC">
        <w:fldChar w:fldCharType="end"/>
      </w:r>
      <w:r w:rsidRPr="008C7FCC">
        <w:t xml:space="preserve">). They represent both the flows of physical goods (e.g. moving water from one ecosystem to another) and functional processes (e.g. air filtration being provided by one ecosystem for the benefit of another). All flows within an ecosystem are </w:t>
      </w:r>
      <w:r w:rsidR="00986A02">
        <w:t>coined</w:t>
      </w:r>
      <w:r w:rsidRPr="008C7FCC">
        <w:t xml:space="preserve"> intra-ecosystem flows (e.g. nutrient processes). The volume of intra-ecosystem flows is assumed to be directly related to the condition of an ecosystem asset. Flows between ecosystems are called inter-ecosystem flows (e.g. seed dispersal) and </w:t>
      </w:r>
      <w:r w:rsidR="0010767D" w:rsidRPr="008C7FCC">
        <w:t>are</w:t>
      </w:r>
      <w:r w:rsidRPr="008C7FCC">
        <w:t xml:space="preserve"> </w:t>
      </w:r>
      <w:r w:rsidR="0010767D" w:rsidRPr="008C7FCC">
        <w:t>estimated with</w:t>
      </w:r>
      <w:r w:rsidRPr="008C7FCC">
        <w:t xml:space="preserve"> both </w:t>
      </w:r>
      <w:r w:rsidR="0010767D" w:rsidRPr="008C7FCC">
        <w:t xml:space="preserve">the </w:t>
      </w:r>
      <w:r w:rsidRPr="008C7FCC">
        <w:t>condition and connectedness of an ecosystem. The subset of inter-ecosystem flows that directly provides benefit to humanity are considered to be ecosystem services (e.g. water extracted for irrigation).</w:t>
      </w:r>
    </w:p>
    <w:p w:rsidR="000C76F6" w:rsidRPr="008C7FCC" w:rsidRDefault="000C76F6" w:rsidP="00D452E2">
      <w:pPr>
        <w:pStyle w:val="DSEBody"/>
      </w:pPr>
    </w:p>
    <w:p w:rsidR="00D452E2" w:rsidRPr="008C7FCC" w:rsidRDefault="00883105" w:rsidP="00D452E2">
      <w:pPr>
        <w:pStyle w:val="DSEBody"/>
      </w:pPr>
      <w:r w:rsidRPr="008C7FCC">
        <w:rPr>
          <w:noProof/>
          <w:lang w:eastAsia="en-AU"/>
        </w:rPr>
        <w:drawing>
          <wp:inline distT="0" distB="0" distL="0" distR="0" wp14:anchorId="2AEB440F" wp14:editId="1E9EC114">
            <wp:extent cx="6120765" cy="1478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system flows and services SNA.png"/>
                    <pic:cNvPicPr/>
                  </pic:nvPicPr>
                  <pic:blipFill>
                    <a:blip r:embed="rId22">
                      <a:extLst>
                        <a:ext uri="{28A0092B-C50C-407E-A947-70E740481C1C}">
                          <a14:useLocalDpi xmlns:a14="http://schemas.microsoft.com/office/drawing/2010/main" val="0"/>
                        </a:ext>
                      </a:extLst>
                    </a:blip>
                    <a:stretch>
                      <a:fillRect/>
                    </a:stretch>
                  </pic:blipFill>
                  <pic:spPr>
                    <a:xfrm>
                      <a:off x="0" y="0"/>
                      <a:ext cx="6120765" cy="1478915"/>
                    </a:xfrm>
                    <a:prstGeom prst="rect">
                      <a:avLst/>
                    </a:prstGeom>
                  </pic:spPr>
                </pic:pic>
              </a:graphicData>
            </a:graphic>
          </wp:inline>
        </w:drawing>
      </w:r>
    </w:p>
    <w:p w:rsidR="00D452E2" w:rsidRPr="008C7FCC" w:rsidRDefault="003E003E" w:rsidP="003E003E">
      <w:pPr>
        <w:pStyle w:val="DSECaption"/>
      </w:pPr>
      <w:bookmarkStart w:id="11" w:name="_Ref352061023"/>
      <w:bookmarkStart w:id="12" w:name="_Toc352141266"/>
      <w:r w:rsidRPr="008C7FCC">
        <w:t xml:space="preserve">Figure </w:t>
      </w:r>
      <w:r w:rsidR="002A5794">
        <w:fldChar w:fldCharType="begin"/>
      </w:r>
      <w:r w:rsidR="002A5794">
        <w:instrText xml:space="preserve"> SEQ Figure \* ARABIC </w:instrText>
      </w:r>
      <w:r w:rsidR="002A5794">
        <w:fldChar w:fldCharType="separate"/>
      </w:r>
      <w:r w:rsidR="00577A8F">
        <w:rPr>
          <w:noProof/>
        </w:rPr>
        <w:t>1</w:t>
      </w:r>
      <w:r w:rsidR="002A5794">
        <w:rPr>
          <w:noProof/>
        </w:rPr>
        <w:fldChar w:fldCharType="end"/>
      </w:r>
      <w:bookmarkEnd w:id="11"/>
      <w:r w:rsidRPr="008C7FCC">
        <w:t>. Ecosystem flows and</w:t>
      </w:r>
      <w:r w:rsidR="00D452E2" w:rsidRPr="008C7FCC">
        <w:t xml:space="preserve"> services</w:t>
      </w:r>
      <w:r w:rsidR="000C76F6" w:rsidRPr="008C7FCC">
        <w:rPr>
          <w:rStyle w:val="EndnoteReference"/>
        </w:rPr>
        <w:endnoteReference w:id="6"/>
      </w:r>
      <w:bookmarkEnd w:id="12"/>
      <w:r w:rsidR="00D452E2" w:rsidRPr="008C7FCC">
        <w:t xml:space="preserve"> </w:t>
      </w:r>
    </w:p>
    <w:p w:rsidR="000C76F6" w:rsidRPr="008C7FCC" w:rsidRDefault="000C76F6" w:rsidP="00D452E2">
      <w:pPr>
        <w:pStyle w:val="DSEBody"/>
      </w:pPr>
    </w:p>
    <w:p w:rsidR="00D452E2" w:rsidRPr="008C7FCC" w:rsidRDefault="00D452E2" w:rsidP="00D452E2">
      <w:pPr>
        <w:pStyle w:val="DSEBody"/>
      </w:pPr>
      <w:r w:rsidRPr="008C7FCC">
        <w:t xml:space="preserve">The flows that move from society into ecosystems are known as </w:t>
      </w:r>
      <w:r w:rsidRPr="008C7FCC">
        <w:rPr>
          <w:b/>
        </w:rPr>
        <w:t>residuals</w:t>
      </w:r>
      <w:r w:rsidRPr="008C7FCC">
        <w:t xml:space="preserve">. For instance, the movement of nutrients from a farm to a wetland or a bay is an example of a residual flow. There are many instances where the quality of an </w:t>
      </w:r>
      <w:r w:rsidRPr="008C7FCC">
        <w:lastRenderedPageBreak/>
        <w:t xml:space="preserve">ecosystem asset is heavily influenced by the flow of residuals. Residuals are also important because there may be an economic trade-off between an ecosystem undertaking the filtration or an artificial facility built to perform the same filtration </w:t>
      </w:r>
      <w:r w:rsidR="00D80B5A" w:rsidRPr="008C7FCC">
        <w:t>function</w:t>
      </w:r>
      <w:r w:rsidRPr="008C7FCC">
        <w:t>.</w:t>
      </w:r>
    </w:p>
    <w:p w:rsidR="00D452E2" w:rsidRPr="008C7FCC" w:rsidRDefault="00D452E2" w:rsidP="00D452E2">
      <w:pPr>
        <w:pStyle w:val="DSEBody"/>
      </w:pPr>
      <w:r w:rsidRPr="008C7FCC">
        <w:t>It is important to note that in ecosystem accounting, changes in intra-ecosystem flows and inter-ecosystem flows (which relate to the general operation of ecosystem processes and dependencies between ecosystems) are not accounted for explicitly. Rather, changes in these flows are captured through their effect on the extent an</w:t>
      </w:r>
      <w:r w:rsidR="00986A02">
        <w:t>d condition of ecosystem assets</w:t>
      </w:r>
      <w:r w:rsidRPr="008C7FCC">
        <w:t xml:space="preserve"> and on the ecosystem services</w:t>
      </w:r>
      <w:r w:rsidR="000C76F6" w:rsidRPr="008C7FCC">
        <w:rPr>
          <w:rStyle w:val="EndnoteReference"/>
        </w:rPr>
        <w:endnoteReference w:id="7"/>
      </w:r>
      <w:r w:rsidRPr="008C7FCC">
        <w:t>.</w:t>
      </w:r>
    </w:p>
    <w:p w:rsidR="00D452E2" w:rsidRPr="008C7FCC" w:rsidRDefault="00D452E2" w:rsidP="00D452E2">
      <w:pPr>
        <w:pStyle w:val="DSEBody"/>
      </w:pPr>
      <w:r w:rsidRPr="008C7FCC">
        <w:rPr>
          <w:b/>
        </w:rPr>
        <w:t>Ecosystem services:</w:t>
      </w:r>
      <w:r w:rsidRPr="008C7FCC">
        <w:t xml:space="preserve"> Ecosystem services are the contributions of ecosystems to benefits used in economic and other human activity</w:t>
      </w:r>
      <w:r w:rsidR="000C76F6" w:rsidRPr="008C7FCC">
        <w:rPr>
          <w:rStyle w:val="EndnoteReference"/>
        </w:rPr>
        <w:endnoteReference w:id="8"/>
      </w:r>
      <w:r w:rsidRPr="008C7FCC">
        <w:t>. In this context, “use” includes both the transformation of materials (e.g. use of timber to build houses or for energy) and the passive receipt of non-material ecosystem services (e.g. amenity from viewing landscapes). Defining ecosystem services as “contributions” highlights the view that ecosystem services are only one part of a broader set of inputs that are combined to provide the benefits.</w:t>
      </w:r>
    </w:p>
    <w:p w:rsidR="00D452E2" w:rsidRPr="008C7FCC" w:rsidRDefault="00D452E2" w:rsidP="00D452E2">
      <w:pPr>
        <w:pStyle w:val="DSEBody"/>
      </w:pPr>
      <w:r w:rsidRPr="008C7FCC">
        <w:t>In SEEA: EEA, three broadly agreed categories of ecosystem services are used: (i) provisioning services, (ii) regulating services and (iii) cultural services. These three categories have emerged from the project to develop a Common International Classificatio</w:t>
      </w:r>
      <w:r w:rsidR="000C76F6" w:rsidRPr="008C7FCC">
        <w:t>n for Ecosystem Services (CICES</w:t>
      </w:r>
      <w:r w:rsidRPr="008C7FCC">
        <w:t>)</w:t>
      </w:r>
      <w:r w:rsidR="000C76F6" w:rsidRPr="008C7FCC">
        <w:rPr>
          <w:rStyle w:val="EndnoteReference"/>
        </w:rPr>
        <w:t xml:space="preserve"> </w:t>
      </w:r>
      <w:r w:rsidR="000C76F6" w:rsidRPr="008C7FCC">
        <w:rPr>
          <w:rStyle w:val="EndnoteReference"/>
        </w:rPr>
        <w:endnoteReference w:id="9"/>
      </w:r>
      <w:r w:rsidRPr="008C7FCC">
        <w:t>, which has drawn on the Millennium Ecosystem Assessment</w:t>
      </w:r>
      <w:r w:rsidR="000C76F6" w:rsidRPr="008C7FCC">
        <w:rPr>
          <w:rStyle w:val="EndnoteReference"/>
        </w:rPr>
        <w:endnoteReference w:id="10"/>
      </w:r>
      <w:r w:rsidRPr="008C7FCC">
        <w:t xml:space="preserve">  and The Economics of Ecosystems and Biodiversity</w:t>
      </w:r>
      <w:r w:rsidR="000C26C9">
        <w:t xml:space="preserve"> (TEEB)</w:t>
      </w:r>
      <w:r w:rsidRPr="008C7FCC">
        <w:t xml:space="preserve"> study</w:t>
      </w:r>
      <w:r w:rsidR="000C76F6" w:rsidRPr="008C7FCC">
        <w:rPr>
          <w:rStyle w:val="EndnoteReference"/>
        </w:rPr>
        <w:endnoteReference w:id="11"/>
      </w:r>
      <w:r w:rsidRPr="008C7FCC">
        <w:t xml:space="preserve">. </w:t>
      </w:r>
    </w:p>
    <w:p w:rsidR="00D452E2" w:rsidRPr="008C7FCC" w:rsidRDefault="00D452E2" w:rsidP="00CA7218">
      <w:pPr>
        <w:pStyle w:val="DSECaption"/>
        <w:pBdr>
          <w:top w:val="single" w:sz="4" w:space="1"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rPr>
          <w:sz w:val="18"/>
          <w:szCs w:val="18"/>
        </w:rPr>
      </w:pPr>
      <w:r w:rsidRPr="008C7FCC">
        <w:rPr>
          <w:sz w:val="18"/>
          <w:szCs w:val="18"/>
        </w:rPr>
        <w:t>Class</w:t>
      </w:r>
      <w:r w:rsidR="000C76F6" w:rsidRPr="008C7FCC">
        <w:rPr>
          <w:sz w:val="18"/>
          <w:szCs w:val="18"/>
        </w:rPr>
        <w:t>ification of ecosystem services</w:t>
      </w:r>
    </w:p>
    <w:p w:rsidR="00D452E2" w:rsidRPr="008C7FCC" w:rsidRDefault="00D452E2" w:rsidP="00CA7218">
      <w:pPr>
        <w:pStyle w:val="DSECaption"/>
        <w:pBdr>
          <w:top w:val="single" w:sz="4" w:space="1"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rPr>
          <w:b w:val="0"/>
          <w:sz w:val="18"/>
          <w:szCs w:val="18"/>
        </w:rPr>
      </w:pPr>
      <w:r w:rsidRPr="008C7FCC">
        <w:rPr>
          <w:b w:val="0"/>
          <w:sz w:val="18"/>
          <w:szCs w:val="18"/>
        </w:rPr>
        <w:t xml:space="preserve">i. </w:t>
      </w:r>
      <w:r w:rsidRPr="008C7FCC">
        <w:rPr>
          <w:sz w:val="18"/>
          <w:szCs w:val="18"/>
        </w:rPr>
        <w:t>Provisioning services</w:t>
      </w:r>
      <w:r w:rsidRPr="008C7FCC">
        <w:rPr>
          <w:b w:val="0"/>
          <w:sz w:val="18"/>
          <w:szCs w:val="18"/>
        </w:rPr>
        <w:t xml:space="preserve"> reflect material and energy contributions generated by or in an ecosystem (e.g. a fish or a plant with pharmaceutical properties). </w:t>
      </w:r>
    </w:p>
    <w:p w:rsidR="00D452E2" w:rsidRPr="008C7FCC" w:rsidRDefault="00D452E2" w:rsidP="00CA7218">
      <w:pPr>
        <w:pStyle w:val="DSECaption"/>
        <w:pBdr>
          <w:top w:val="single" w:sz="4" w:space="1"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rPr>
          <w:b w:val="0"/>
          <w:sz w:val="18"/>
          <w:szCs w:val="18"/>
        </w:rPr>
      </w:pPr>
      <w:r w:rsidRPr="008C7FCC">
        <w:rPr>
          <w:b w:val="0"/>
          <w:sz w:val="18"/>
          <w:szCs w:val="18"/>
        </w:rPr>
        <w:t xml:space="preserve">ii. </w:t>
      </w:r>
      <w:r w:rsidRPr="008C7FCC">
        <w:rPr>
          <w:sz w:val="18"/>
          <w:szCs w:val="18"/>
        </w:rPr>
        <w:t>Regulating services</w:t>
      </w:r>
      <w:r w:rsidRPr="008C7FCC">
        <w:rPr>
          <w:b w:val="0"/>
          <w:sz w:val="18"/>
          <w:szCs w:val="18"/>
        </w:rPr>
        <w:t xml:space="preserve"> result from the capacity of ecosystems to regulate climate, hydrological and bio-chemical cycles, earth surface processes, and a variety of biological processes.</w:t>
      </w:r>
    </w:p>
    <w:p w:rsidR="00D452E2" w:rsidRPr="008C7FCC" w:rsidRDefault="00D452E2" w:rsidP="00CA7218">
      <w:pPr>
        <w:pStyle w:val="DSECaption"/>
        <w:pBdr>
          <w:top w:val="single" w:sz="4" w:space="1" w:color="808080" w:themeColor="background1" w:themeShade="80"/>
          <w:left w:val="single" w:sz="4" w:space="4" w:color="808080" w:themeColor="background1" w:themeShade="80"/>
          <w:bottom w:val="single" w:sz="4" w:space="1" w:color="808080" w:themeColor="background1" w:themeShade="80"/>
          <w:right w:val="single" w:sz="4" w:space="4" w:color="808080" w:themeColor="background1" w:themeShade="80"/>
        </w:pBdr>
        <w:rPr>
          <w:b w:val="0"/>
          <w:sz w:val="18"/>
          <w:szCs w:val="18"/>
        </w:rPr>
      </w:pPr>
      <w:r w:rsidRPr="008C7FCC">
        <w:rPr>
          <w:b w:val="0"/>
          <w:sz w:val="18"/>
          <w:szCs w:val="18"/>
        </w:rPr>
        <w:t xml:space="preserve">iii. </w:t>
      </w:r>
      <w:r w:rsidRPr="008C7FCC">
        <w:rPr>
          <w:sz w:val="18"/>
          <w:szCs w:val="18"/>
        </w:rPr>
        <w:t>Cultural services</w:t>
      </w:r>
      <w:r w:rsidRPr="008C7FCC">
        <w:rPr>
          <w:b w:val="0"/>
          <w:sz w:val="18"/>
          <w:szCs w:val="18"/>
        </w:rPr>
        <w:t xml:space="preserve"> are generated from the physical settings, locations or situations which give rise to intellectual and symbolic benefits that people obtain from ecosystems through recreation, knowledge development, relaxation, and spiritual reflection. This may involve actual visits to an area, indirectly enjoying the ecosystem (e.g. through nature movies), or gaining satisfaction from the knowledge that an ecosystem containing important biodiversity or cultural monuments will be preserved.</w:t>
      </w:r>
    </w:p>
    <w:p w:rsidR="00EC5CBD" w:rsidRPr="008C7FCC" w:rsidRDefault="00EC5CBD" w:rsidP="000C76F6">
      <w:pPr>
        <w:pStyle w:val="DSEHB"/>
      </w:pPr>
    </w:p>
    <w:p w:rsidR="000C76F6" w:rsidRPr="008C7FCC" w:rsidRDefault="000C76F6" w:rsidP="000C76F6">
      <w:pPr>
        <w:pStyle w:val="DSEHB"/>
      </w:pPr>
      <w:bookmarkStart w:id="13" w:name="_Toc352141276"/>
      <w:r w:rsidRPr="008C7FCC">
        <w:t>Victorian approach</w:t>
      </w:r>
      <w:bookmarkEnd w:id="13"/>
      <w:r w:rsidRPr="008C7FCC">
        <w:t xml:space="preserve"> </w:t>
      </w:r>
    </w:p>
    <w:p w:rsidR="000C76F6" w:rsidRPr="008C7FCC" w:rsidRDefault="000C76F6" w:rsidP="000C76F6">
      <w:pPr>
        <w:pStyle w:val="DSEBody"/>
      </w:pPr>
      <w:r w:rsidRPr="008C7FCC">
        <w:t>In Victoria, work has been underway over the past 10 years to extend and apply market principles to the management of ecosystem assets. In order for environmental markets to operate, it is necessary to define how ecosystem flows will change as a result of changes in land use and management. Models have been developed to represent the current levels of ecosystem flows and to predict the change in ecosystem flows resulting from changes in land use and management. This information, originally designed to assess the most effective management interventions, can also be used for the purposes of ecosystem accounting.</w:t>
      </w:r>
    </w:p>
    <w:p w:rsidR="000C76F6" w:rsidRPr="008C7FCC" w:rsidRDefault="000C76F6" w:rsidP="000C76F6">
      <w:pPr>
        <w:pStyle w:val="DSEBody"/>
      </w:pPr>
      <w:r w:rsidRPr="008C7FCC">
        <w:t xml:space="preserve">Applying the Victorian environmental markets approach to ecosystem accounting uses a “bottom-up” methodology by (i) quantifying all intra-ecosystem flows using a measure of asset condition; (ii) quantifying the volume of inter-ecosystem flows as a function of the asset condition and its context in the landscape; and (iii) quantifying the volume of ecosystem services as a function of the inter-ecosystem flows and a measure of “significance” </w:t>
      </w:r>
      <w:r w:rsidR="004B33FA" w:rsidRPr="008C7FCC">
        <w:t>representing an anthropocentric preference for the flows</w:t>
      </w:r>
      <w:r w:rsidRPr="008C7FCC">
        <w:t>.  In contrast, the SEEA: EEA advises the use of a “top-down” approach whereby only the ec</w:t>
      </w:r>
      <w:r w:rsidR="000C26C9">
        <w:t>osystem services are quantified</w:t>
      </w:r>
      <w:r w:rsidRPr="008C7FCC">
        <w:t xml:space="preserve"> and measurements of the intra- and inter-ecosystem flows are </w:t>
      </w:r>
      <w:r w:rsidR="003A4A13" w:rsidRPr="008C7FCC">
        <w:t>not required</w:t>
      </w:r>
      <w:r w:rsidRPr="008C7FCC">
        <w:t xml:space="preserve">. </w:t>
      </w:r>
    </w:p>
    <w:p w:rsidR="00767F2D" w:rsidRPr="008C7FCC" w:rsidRDefault="000C76F6" w:rsidP="000C76F6">
      <w:pPr>
        <w:pStyle w:val="DSEBody"/>
      </w:pPr>
      <w:r w:rsidRPr="008C7FCC">
        <w:t>The bottom-up approach has the advantage of collating data alon</w:t>
      </w:r>
      <w:r w:rsidR="000C26C9">
        <w:t>g a chain of causes and effects</w:t>
      </w:r>
      <w:r w:rsidRPr="008C7FCC">
        <w:t xml:space="preserve"> which might be overlooked in the top-down approach. Mapping this chain may be particularly important in order to assess the ecosystem-wide implications of specific decisions. For example, the loss of a forest may have conse</w:t>
      </w:r>
      <w:r w:rsidR="000C26C9">
        <w:t>quences on stream water quality</w:t>
      </w:r>
      <w:r w:rsidRPr="008C7FCC">
        <w:t xml:space="preserve"> which may</w:t>
      </w:r>
      <w:r w:rsidR="000C26C9">
        <w:t xml:space="preserve"> in turn</w:t>
      </w:r>
      <w:r w:rsidRPr="008C7FCC">
        <w:t xml:space="preserve"> affect the downstream estuary, </w:t>
      </w:r>
      <w:r w:rsidR="000C26C9">
        <w:t xml:space="preserve">impacting </w:t>
      </w:r>
      <w:r w:rsidRPr="008C7FCC">
        <w:t>fish stocks. To understand fully the changes (in this case the fish stocks) and to enable effective intervention, it is necessary to understand the whole system. The bottom-up approach makes it possible to model and monitor cumulative chains of complex processes across the whole system.</w:t>
      </w:r>
    </w:p>
    <w:p w:rsidR="00CA7218" w:rsidRPr="008C7FCC" w:rsidRDefault="00CA7218">
      <w:pPr>
        <w:rPr>
          <w:rFonts w:ascii="Arial" w:hAnsi="Arial" w:cs="Arial"/>
          <w:color w:val="5A6E7E"/>
          <w:sz w:val="40"/>
        </w:rPr>
      </w:pPr>
      <w:r w:rsidRPr="008C7FCC">
        <w:br w:type="page"/>
      </w:r>
    </w:p>
    <w:p w:rsidR="000C76F6" w:rsidRPr="008C7FCC" w:rsidRDefault="000C76F6" w:rsidP="000C76F6">
      <w:pPr>
        <w:pStyle w:val="DSEHA"/>
        <w:rPr>
          <w:lang w:val="en-AU"/>
        </w:rPr>
      </w:pPr>
      <w:bookmarkStart w:id="14" w:name="_Toc352141277"/>
      <w:r w:rsidRPr="008C7FCC">
        <w:rPr>
          <w:lang w:val="en-AU"/>
        </w:rPr>
        <w:lastRenderedPageBreak/>
        <w:t>Victorian Experimental Ecosystem Accounts</w:t>
      </w:r>
      <w:bookmarkEnd w:id="14"/>
    </w:p>
    <w:p w:rsidR="000C76F6" w:rsidRPr="008C7FCC" w:rsidRDefault="000C76F6" w:rsidP="00CA7218">
      <w:pPr>
        <w:pStyle w:val="DSEPullout"/>
      </w:pPr>
      <w:r w:rsidRPr="008C7FCC">
        <w:t>The Victorian Experiment</w:t>
      </w:r>
      <w:r w:rsidR="0030315B" w:rsidRPr="008C7FCC">
        <w:t>al</w:t>
      </w:r>
      <w:r w:rsidRPr="008C7FCC">
        <w:t xml:space="preserve"> Ecosystem Accounts demonstrate a</w:t>
      </w:r>
      <w:r w:rsidR="0030315B" w:rsidRPr="008C7FCC">
        <w:t>n</w:t>
      </w:r>
      <w:r w:rsidRPr="008C7FCC">
        <w:t xml:space="preserve"> </w:t>
      </w:r>
      <w:r w:rsidR="000E74A2">
        <w:t xml:space="preserve">experimental </w:t>
      </w:r>
      <w:r w:rsidRPr="008C7FCC">
        <w:t xml:space="preserve">application of the SEEA: EEA.  </w:t>
      </w:r>
      <w:r w:rsidR="000E74A2">
        <w:t xml:space="preserve">This </w:t>
      </w:r>
      <w:r w:rsidRPr="008C7FCC">
        <w:t xml:space="preserve">provides a practical case study to inform discussions on how ecosystem accounting may assist environmental policy, natural resource investments and decision making.  </w:t>
      </w:r>
    </w:p>
    <w:p w:rsidR="000C76F6" w:rsidRPr="008C7FCC" w:rsidRDefault="000C76F6" w:rsidP="000C76F6">
      <w:pPr>
        <w:pStyle w:val="DSEBody"/>
      </w:pPr>
      <w:r w:rsidRPr="008C7FCC">
        <w:t xml:space="preserve">The </w:t>
      </w:r>
      <w:r w:rsidR="0030315B" w:rsidRPr="008C7FCC">
        <w:t xml:space="preserve">experimental </w:t>
      </w:r>
      <w:r w:rsidRPr="008C7FCC">
        <w:t>accounts can be grouped into four types</w:t>
      </w:r>
      <w:r w:rsidR="000C26C9">
        <w:t>,</w:t>
      </w:r>
      <w:r w:rsidRPr="008C7FCC">
        <w:t xml:space="preserve"> depending on the information they provide:</w:t>
      </w:r>
    </w:p>
    <w:p w:rsidR="000C76F6" w:rsidRPr="008C7FCC" w:rsidRDefault="000C76F6" w:rsidP="00CA7218">
      <w:pPr>
        <w:pStyle w:val="DSEListNum"/>
      </w:pPr>
      <w:r w:rsidRPr="008C7FCC">
        <w:rPr>
          <w:b/>
        </w:rPr>
        <w:t>Ecosystem Asset Accounts</w:t>
      </w:r>
      <w:r w:rsidRPr="008C7FCC">
        <w:t xml:space="preserve"> provide a record of the stock of ecosystem assets at a given point in time</w:t>
      </w:r>
    </w:p>
    <w:p w:rsidR="000C76F6" w:rsidRPr="008C7FCC" w:rsidRDefault="000C76F6" w:rsidP="00CA7218">
      <w:pPr>
        <w:pStyle w:val="DSEListNum"/>
      </w:pPr>
      <w:r w:rsidRPr="008C7FCC">
        <w:rPr>
          <w:b/>
        </w:rPr>
        <w:t>Asset Flow Accounts</w:t>
      </w:r>
      <w:r w:rsidRPr="008C7FCC">
        <w:t xml:space="preserve"> record the changes in stock over a defined period of time</w:t>
      </w:r>
    </w:p>
    <w:p w:rsidR="000C76F6" w:rsidRPr="008C7FCC" w:rsidRDefault="000C76F6" w:rsidP="00CA7218">
      <w:pPr>
        <w:pStyle w:val="DSEListNum"/>
      </w:pPr>
      <w:r w:rsidRPr="008C7FCC">
        <w:rPr>
          <w:b/>
        </w:rPr>
        <w:t>Physical Flow Accounts</w:t>
      </w:r>
      <w:r w:rsidRPr="008C7FCC">
        <w:t xml:space="preserve"> record the expected</w:t>
      </w:r>
      <w:r w:rsidR="000C26C9">
        <w:t xml:space="preserve"> flows between ecosystem assets</w:t>
      </w:r>
      <w:r w:rsidRPr="008C7FCC">
        <w:t xml:space="preserve"> and the services that contribute to human benefits</w:t>
      </w:r>
    </w:p>
    <w:p w:rsidR="000C76F6" w:rsidRPr="008C7FCC" w:rsidRDefault="000C76F6" w:rsidP="00CA7218">
      <w:pPr>
        <w:pStyle w:val="DSEListNum"/>
      </w:pPr>
      <w:r w:rsidRPr="008C7FCC">
        <w:rPr>
          <w:b/>
        </w:rPr>
        <w:t>Environmental Payment Accounts</w:t>
      </w:r>
      <w:r w:rsidRPr="008C7FCC">
        <w:t xml:space="preserve"> record the economic transactions that affect the stocks and flows of ecosystem assets (e.g. expenditure for improvement and maintenance of ecosystem assets)</w:t>
      </w:r>
    </w:p>
    <w:p w:rsidR="00CA7218" w:rsidRPr="008C7FCC" w:rsidRDefault="00CA7218" w:rsidP="00CA7218">
      <w:pPr>
        <w:pStyle w:val="DSEBody"/>
      </w:pPr>
      <w:r w:rsidRPr="008C7FCC">
        <w:t>This section presents a subset of the account tables. Refer to Appendix</w:t>
      </w:r>
      <w:r w:rsidR="005508F4" w:rsidRPr="008C7FCC">
        <w:t xml:space="preserve"> A</w:t>
      </w:r>
      <w:r w:rsidRPr="008C7FCC">
        <w:t xml:space="preserve"> for links to the full datasets.</w:t>
      </w:r>
    </w:p>
    <w:p w:rsidR="000C76F6" w:rsidRPr="008C7FCC" w:rsidRDefault="000C76F6" w:rsidP="003E003E">
      <w:pPr>
        <w:pStyle w:val="DSEHB"/>
      </w:pPr>
      <w:bookmarkStart w:id="15" w:name="_Toc352141278"/>
      <w:r w:rsidRPr="008C7FCC">
        <w:t>Ecosystem Asset Accounts</w:t>
      </w:r>
      <w:bookmarkEnd w:id="15"/>
    </w:p>
    <w:p w:rsidR="000C76F6" w:rsidRPr="008C7FCC" w:rsidRDefault="000C76F6" w:rsidP="000C76F6">
      <w:pPr>
        <w:pStyle w:val="DSEBody"/>
      </w:pPr>
      <w:r w:rsidRPr="008C7FCC">
        <w:t xml:space="preserve">The Ecosystem Asset Accounts provide a record of the extent and condition of ecosystem assets at a given point in time.  Aggregated measurements of extent and condition indicate the quantity and quality of stocks of ecosystem assets.  Measurements taken at various points in time can show how the stocks change over time.   Spatial references indicating the geographic location of the ecosystem assets provide insights </w:t>
      </w:r>
      <w:r w:rsidR="000C26C9">
        <w:t>to</w:t>
      </w:r>
      <w:r w:rsidRPr="008C7FCC">
        <w:t xml:space="preserve"> the socio-economic contexts of the trends in stocks.</w:t>
      </w:r>
    </w:p>
    <w:p w:rsidR="000C76F6" w:rsidRPr="008C7FCC" w:rsidRDefault="007D4012" w:rsidP="000C76F6">
      <w:pPr>
        <w:pStyle w:val="DSEBody"/>
      </w:pPr>
      <w:r w:rsidRPr="008C7FCC">
        <w:rPr>
          <w:highlight w:val="yellow"/>
        </w:rPr>
        <w:fldChar w:fldCharType="begin"/>
      </w:r>
      <w:r w:rsidRPr="008C7FCC">
        <w:instrText xml:space="preserve"> REF _Ref352066263 \h </w:instrText>
      </w:r>
      <w:r w:rsidRPr="008C7FCC">
        <w:rPr>
          <w:highlight w:val="yellow"/>
        </w:rPr>
      </w:r>
      <w:r w:rsidRPr="008C7FCC">
        <w:rPr>
          <w:highlight w:val="yellow"/>
        </w:rPr>
        <w:fldChar w:fldCharType="separate"/>
      </w:r>
      <w:r w:rsidR="00577A8F" w:rsidRPr="008C7FCC">
        <w:t xml:space="preserve">Table </w:t>
      </w:r>
      <w:r w:rsidR="00577A8F">
        <w:rPr>
          <w:noProof/>
        </w:rPr>
        <w:t>1</w:t>
      </w:r>
      <w:r w:rsidRPr="008C7FCC">
        <w:rPr>
          <w:highlight w:val="yellow"/>
        </w:rPr>
        <w:fldChar w:fldCharType="end"/>
      </w:r>
      <w:r w:rsidRPr="008C7FCC">
        <w:t xml:space="preserve"> </w:t>
      </w:r>
      <w:r w:rsidR="000C76F6" w:rsidRPr="008C7FCC">
        <w:t xml:space="preserve">shows the Ecosystem Asset Accounts for Victoria at two time-points:  1750 and 2005.  The rows list the types of ecosystem assets.   The classification of ecosystem assets into various types for accounting purposes is a fundamental part of SEEA: EEA.  Each unit of stock is referenced spatially as a geographic area called a </w:t>
      </w:r>
      <w:r w:rsidR="000C76F6" w:rsidRPr="008C7FCC">
        <w:rPr>
          <w:b/>
        </w:rPr>
        <w:t>Basic Spatial Unit (BSU)</w:t>
      </w:r>
      <w:r w:rsidR="000C76F6" w:rsidRPr="008C7FCC">
        <w:t xml:space="preserve">.   Each BSU belongs to a </w:t>
      </w:r>
      <w:r w:rsidR="000C76F6" w:rsidRPr="008C7FCC">
        <w:rPr>
          <w:b/>
        </w:rPr>
        <w:t xml:space="preserve">Land Cover/Ecosystem Unit (LCEU) </w:t>
      </w:r>
      <w:r w:rsidR="000C76F6" w:rsidRPr="008C7FCC">
        <w:t>which represents an ecosystem asset of a particular type.  The accounts tabulate the stocks according to the classification of the ecosystem assets.  In</w:t>
      </w:r>
      <w:r w:rsidRPr="008C7FCC">
        <w:t xml:space="preserve"> </w:t>
      </w:r>
      <w:r w:rsidRPr="008C7FCC">
        <w:fldChar w:fldCharType="begin"/>
      </w:r>
      <w:r w:rsidRPr="008C7FCC">
        <w:instrText xml:space="preserve"> REF _Ref352066263 \h </w:instrText>
      </w:r>
      <w:r w:rsidRPr="008C7FCC">
        <w:fldChar w:fldCharType="separate"/>
      </w:r>
      <w:r w:rsidR="00577A8F" w:rsidRPr="008C7FCC">
        <w:t xml:space="preserve">Table </w:t>
      </w:r>
      <w:r w:rsidR="00577A8F">
        <w:rPr>
          <w:noProof/>
        </w:rPr>
        <w:t>1</w:t>
      </w:r>
      <w:r w:rsidRPr="008C7FCC">
        <w:fldChar w:fldCharType="end"/>
      </w:r>
      <w:r w:rsidR="000C76F6" w:rsidRPr="008C7FCC">
        <w:t xml:space="preserve">, the ecosystem assets are classified based on the </w:t>
      </w:r>
      <w:r w:rsidR="000C76F6" w:rsidRPr="008C7FCC">
        <w:rPr>
          <w:b/>
        </w:rPr>
        <w:t>Major Vegetation Groups (MVG)</w:t>
      </w:r>
      <w:r w:rsidR="003E003E" w:rsidRPr="008C7FCC">
        <w:rPr>
          <w:rStyle w:val="EndnoteReference"/>
          <w:b/>
        </w:rPr>
        <w:endnoteReference w:id="12"/>
      </w:r>
      <w:r w:rsidR="000459ED" w:rsidRPr="008C7FCC">
        <w:rPr>
          <w:b/>
          <w:vertAlign w:val="superscript"/>
        </w:rPr>
        <w:t>,</w:t>
      </w:r>
      <w:r w:rsidR="003E003E" w:rsidRPr="008C7FCC">
        <w:rPr>
          <w:rStyle w:val="EndnoteReference"/>
          <w:b/>
        </w:rPr>
        <w:endnoteReference w:id="13"/>
      </w:r>
      <w:r w:rsidR="000C76F6" w:rsidRPr="008C7FCC">
        <w:t xml:space="preserve">   used in the </w:t>
      </w:r>
      <w:r w:rsidR="000C76F6" w:rsidRPr="008C7FCC">
        <w:rPr>
          <w:b/>
        </w:rPr>
        <w:t>National Vegetation Information System (NVIS)</w:t>
      </w:r>
      <w:r w:rsidR="003E003E" w:rsidRPr="008C7FCC">
        <w:rPr>
          <w:rStyle w:val="EndnoteReference"/>
          <w:b/>
        </w:rPr>
        <w:endnoteReference w:id="14"/>
      </w:r>
      <w:r w:rsidR="000C76F6" w:rsidRPr="008C7FCC">
        <w:rPr>
          <w:b/>
        </w:rPr>
        <w:t xml:space="preserve"> </w:t>
      </w:r>
      <w:r w:rsidR="000C76F6" w:rsidRPr="008C7FCC">
        <w:t xml:space="preserve">.   Note that other classification schemes, such as Victoria’s Ecological Vegetation Classes (EVC) </w:t>
      </w:r>
      <w:r w:rsidR="003E003E" w:rsidRPr="008C7FCC">
        <w:rPr>
          <w:rStyle w:val="EndnoteReference"/>
        </w:rPr>
        <w:endnoteReference w:id="15"/>
      </w:r>
      <w:r w:rsidR="000C76F6" w:rsidRPr="008C7FCC">
        <w:t>, could be used instead.  The MVG classification scheme in NVIS was adopted in this publication for national consistency.</w:t>
      </w:r>
    </w:p>
    <w:p w:rsidR="000C26C9" w:rsidRPr="008C7FCC" w:rsidRDefault="000C26C9" w:rsidP="000C26C9">
      <w:pPr>
        <w:pStyle w:val="DSEBody"/>
      </w:pPr>
      <w:r w:rsidRPr="008C7FCC">
        <w:t xml:space="preserve">The columns in </w:t>
      </w:r>
      <w:r w:rsidRPr="008C7FCC">
        <w:fldChar w:fldCharType="begin"/>
      </w:r>
      <w:r w:rsidRPr="008C7FCC">
        <w:instrText xml:space="preserve"> REF _Ref352066263 \h </w:instrText>
      </w:r>
      <w:r w:rsidRPr="008C7FCC">
        <w:fldChar w:fldCharType="separate"/>
      </w:r>
      <w:r w:rsidRPr="008C7FCC">
        <w:t xml:space="preserve">Table </w:t>
      </w:r>
      <w:r>
        <w:rPr>
          <w:noProof/>
        </w:rPr>
        <w:t>1</w:t>
      </w:r>
      <w:r w:rsidRPr="008C7FCC">
        <w:fldChar w:fldCharType="end"/>
      </w:r>
      <w:r w:rsidRPr="008C7FCC">
        <w:t xml:space="preserve"> show the aggregate extent (in hectares) and mean condition (per hectare) for each type of ecosystem asset.  The condition measure is the normalised “Site Condition” component of the Habitat Hectares approach</w:t>
      </w:r>
      <w:r w:rsidRPr="008C7FCC">
        <w:rPr>
          <w:rStyle w:val="EndnoteReference"/>
        </w:rPr>
        <w:endnoteReference w:id="16"/>
      </w:r>
      <w:r w:rsidRPr="008C7FCC">
        <w:t xml:space="preserve">  for assessing the quality of native vegetation.  A mean condition of 1.00/Ha represents the benchmark condition.  The tabulated data for 1750 are modelled estimates of the extent of the ecosystem assets prior to European settlement.   The modelled condition of the ecosystem assets in 1750 serves as the benchmark condition.  </w:t>
      </w:r>
    </w:p>
    <w:p w:rsidR="000C26C9" w:rsidRPr="008C7FCC" w:rsidRDefault="000C26C9" w:rsidP="000C26C9">
      <w:pPr>
        <w:pStyle w:val="DSEBody"/>
      </w:pPr>
      <w:r w:rsidRPr="008C7FCC">
        <w:t>There are two sets of estimates for 2005, based on different sources:  column “2005(a)” was based on estimates published in 2006 (NVIS Version 3.1), whereas column “2005(b)” was based on revised estimates published in 2013 (NVIS Version 4.1) to supersede the “2005(a)” estimates.  The “2005(a)” estimates are included in this publication for consistency with the source data for the ABS Experimental Land Accounts</w:t>
      </w:r>
      <w:r w:rsidRPr="008C7FCC">
        <w:rPr>
          <w:rStyle w:val="EndnoteReference"/>
        </w:rPr>
        <w:endnoteReference w:id="17"/>
      </w:r>
      <w:r w:rsidRPr="008C7FCC">
        <w:t xml:space="preserve"> .  Note the significant differences in the estimated 2005 stocks.  For example, column “2005(a)” shows approximately 1.5m Ha of Eucalypt Woodlands with a mean condition of 0.57/Ha compared to the 1750 benchmark, whereas column “2005(b)” shows approximately 2.5m Ha with a mean condition of 0.46/Ha.  The discrepancies illustrate how improvements in data quality can lead to significant revisions to the estimated stocks of ecosystem assets. How to account for better or new information in an ecosystem accounting context is still being resolved.</w:t>
      </w:r>
    </w:p>
    <w:p w:rsidR="000465C8" w:rsidRPr="008C7FCC" w:rsidRDefault="000465C8" w:rsidP="000C76F6">
      <w:pPr>
        <w:pStyle w:val="DSEBody"/>
      </w:pPr>
    </w:p>
    <w:p w:rsidR="000465C8" w:rsidRPr="008C7FCC" w:rsidRDefault="000465C8" w:rsidP="000C76F6">
      <w:pPr>
        <w:pStyle w:val="DSEBody"/>
      </w:pPr>
    </w:p>
    <w:p w:rsidR="000465C8" w:rsidRPr="008C7FCC" w:rsidRDefault="000465C8" w:rsidP="000C76F6">
      <w:pPr>
        <w:pStyle w:val="DSEBody"/>
      </w:pPr>
    </w:p>
    <w:p w:rsidR="000465C8" w:rsidRPr="008C7FCC" w:rsidRDefault="000465C8" w:rsidP="000C76F6">
      <w:pPr>
        <w:pStyle w:val="DSEBody"/>
      </w:pPr>
    </w:p>
    <w:p w:rsidR="000459ED" w:rsidRPr="008C7FCC" w:rsidRDefault="000459ED" w:rsidP="002F56D1">
      <w:pPr>
        <w:pStyle w:val="DSECaption"/>
        <w:keepNext/>
      </w:pPr>
      <w:bookmarkStart w:id="16" w:name="_Ref352066263"/>
      <w:bookmarkStart w:id="17" w:name="_Toc352141252"/>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1</w:t>
      </w:r>
      <w:r w:rsidR="002A5794">
        <w:rPr>
          <w:noProof/>
        </w:rPr>
        <w:fldChar w:fldCharType="end"/>
      </w:r>
      <w:bookmarkEnd w:id="16"/>
      <w:r w:rsidRPr="008C7FCC">
        <w:t>. Victorian terrestrial extent and condition classified by Major Vegetation Groups: 1750, 2005</w:t>
      </w:r>
      <w:bookmarkEnd w:id="17"/>
    </w:p>
    <w:p w:rsidR="00CA7218" w:rsidRPr="008C7FCC" w:rsidRDefault="00CA7218" w:rsidP="000C76F6">
      <w:pPr>
        <w:pStyle w:val="DSEBody"/>
      </w:pPr>
      <w:r w:rsidRPr="008C7FCC">
        <w:rPr>
          <w:noProof/>
          <w:lang w:eastAsia="en-AU"/>
        </w:rPr>
        <w:drawing>
          <wp:inline distT="0" distB="0" distL="0" distR="0" wp14:anchorId="4B61D6A2" wp14:editId="0373F1CD">
            <wp:extent cx="6120765" cy="4184241"/>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184241"/>
                    </a:xfrm>
                    <a:prstGeom prst="rect">
                      <a:avLst/>
                    </a:prstGeom>
                    <a:noFill/>
                    <a:ln>
                      <a:noFill/>
                    </a:ln>
                  </pic:spPr>
                </pic:pic>
              </a:graphicData>
            </a:graphic>
          </wp:inline>
        </w:drawing>
      </w:r>
    </w:p>
    <w:p w:rsidR="003E003E" w:rsidRPr="008C7FCC" w:rsidRDefault="003E003E" w:rsidP="003E003E">
      <w:pPr>
        <w:pStyle w:val="DSEBody"/>
      </w:pPr>
      <w:r w:rsidRPr="008C7FCC">
        <w:t xml:space="preserve">The </w:t>
      </w:r>
      <w:r w:rsidR="003E4B20" w:rsidRPr="008C7FCC">
        <w:t xml:space="preserve">two-period </w:t>
      </w:r>
      <w:r w:rsidRPr="008C7FCC">
        <w:t>tabulation of the Ecosystem Asset Accounts</w:t>
      </w:r>
      <w:r w:rsidR="000D3EC4" w:rsidRPr="008C7FCC">
        <w:t xml:space="preserve"> </w:t>
      </w:r>
      <w:r w:rsidRPr="008C7FCC">
        <w:t xml:space="preserve">in </w:t>
      </w:r>
      <w:r w:rsidR="007D4012" w:rsidRPr="008C7FCC">
        <w:rPr>
          <w:highlight w:val="yellow"/>
        </w:rPr>
        <w:fldChar w:fldCharType="begin"/>
      </w:r>
      <w:r w:rsidR="007D4012" w:rsidRPr="008C7FCC">
        <w:instrText xml:space="preserve"> REF _Ref352066263 \h </w:instrText>
      </w:r>
      <w:r w:rsidR="007D4012" w:rsidRPr="008C7FCC">
        <w:rPr>
          <w:highlight w:val="yellow"/>
        </w:rPr>
      </w:r>
      <w:r w:rsidR="007D4012" w:rsidRPr="008C7FCC">
        <w:rPr>
          <w:highlight w:val="yellow"/>
        </w:rPr>
        <w:fldChar w:fldCharType="separate"/>
      </w:r>
      <w:r w:rsidR="00577A8F" w:rsidRPr="008C7FCC">
        <w:t xml:space="preserve">Table </w:t>
      </w:r>
      <w:r w:rsidR="00577A8F">
        <w:rPr>
          <w:noProof/>
        </w:rPr>
        <w:t>1</w:t>
      </w:r>
      <w:r w:rsidR="007D4012" w:rsidRPr="008C7FCC">
        <w:rPr>
          <w:highlight w:val="yellow"/>
        </w:rPr>
        <w:fldChar w:fldCharType="end"/>
      </w:r>
      <w:r w:rsidR="007D4012" w:rsidRPr="008C7FCC">
        <w:t xml:space="preserve"> </w:t>
      </w:r>
      <w:r w:rsidRPr="008C7FCC">
        <w:t xml:space="preserve">illustrates the estimated changes in stocks between 1750 and 2005.  The 2005(b) extent of native vegetation is about half pre-European settlement, and the average condition is 0.57 in 2005(b) compared to 1.0 in 1750. Within the table, it is possible to identify vegetation types that appear to be relatively healthy.  For example, Eucalypt Tall Open </w:t>
      </w:r>
      <w:r w:rsidR="00FF464F" w:rsidRPr="008C7FCC">
        <w:t>Forests increased</w:t>
      </w:r>
      <w:r w:rsidRPr="008C7FCC">
        <w:t xml:space="preserve"> in total area since 1750, with a mean condition of 0.8/Ha.  Cont</w:t>
      </w:r>
      <w:r w:rsidR="000C26C9">
        <w:t>rast that to Tussock Grasslands</w:t>
      </w:r>
      <w:r w:rsidRPr="008C7FCC">
        <w:t xml:space="preserve"> which has a present extant that is about 10% of the 1750's ex</w:t>
      </w:r>
      <w:r w:rsidR="000C26C9">
        <w:t>tent</w:t>
      </w:r>
      <w:r w:rsidRPr="008C7FCC">
        <w:t xml:space="preserve"> and a mean condition of only approximately 0.35/Ha.</w:t>
      </w:r>
    </w:p>
    <w:p w:rsidR="003E003E" w:rsidRPr="008C7FCC" w:rsidRDefault="003E003E" w:rsidP="003E003E">
      <w:pPr>
        <w:pStyle w:val="DSEBody"/>
      </w:pPr>
      <w:r w:rsidRPr="008C7FCC">
        <w:t>Ecosystem Asset Accounts are not meant to provide information that explains the changes in stocks.  For example, the gains and losses in Table 1 could be due to actual physical changes in the extent and condition of the ecosystem assets, but the differences could also be due to revised estimates based on improved information about the assets.  Information that explains the changes in stocks are descri</w:t>
      </w:r>
      <w:r w:rsidR="003233F7" w:rsidRPr="008C7FCC">
        <w:t>bed in the Asset Flow Accounts</w:t>
      </w:r>
      <w:r w:rsidR="000C26C9">
        <w:t xml:space="preserve"> and is</w:t>
      </w:r>
      <w:r w:rsidR="003233F7" w:rsidRPr="008C7FCC">
        <w:t xml:space="preserve"> </w:t>
      </w:r>
      <w:r w:rsidRPr="008C7FCC">
        <w:t>discussed in</w:t>
      </w:r>
      <w:r w:rsidR="003233F7" w:rsidRPr="008C7FCC">
        <w:t xml:space="preserve"> the next section</w:t>
      </w:r>
      <w:r w:rsidRPr="008C7FCC">
        <w:t>.</w:t>
      </w:r>
    </w:p>
    <w:p w:rsidR="003E003E" w:rsidRPr="008C7FCC" w:rsidRDefault="003E003E" w:rsidP="003E003E">
      <w:pPr>
        <w:pStyle w:val="DSEBody"/>
      </w:pPr>
      <w:r w:rsidRPr="008C7FCC">
        <w:t xml:space="preserve">The </w:t>
      </w:r>
      <w:r w:rsidR="00457E49" w:rsidRPr="008C7FCC">
        <w:t xml:space="preserve">Ecosystem Asset Accounts </w:t>
      </w:r>
      <w:r w:rsidRPr="008C7FCC">
        <w:t xml:space="preserve">present the extent and condition of ecosystem assets as separate columns without combining them into a single indicator of the overall condition of ecosystem assets.   SEEA: EEA does not explicitly prescribe a method for formulating a combined indicator of stock condition.  However, there are several possible approaches for doing so.  For example, regional natural resource management groups are trialling the Wentworth Group’s </w:t>
      </w:r>
      <w:r w:rsidRPr="008C7FCC">
        <w:rPr>
          <w:i/>
        </w:rPr>
        <w:t>Accounting for Nature</w:t>
      </w:r>
      <w:r w:rsidR="0084327B" w:rsidRPr="008C7FCC">
        <w:rPr>
          <w:rStyle w:val="EndnoteReference"/>
        </w:rPr>
        <w:endnoteReference w:id="18"/>
      </w:r>
      <w:r w:rsidR="0084327B" w:rsidRPr="008C7FCC">
        <w:t xml:space="preserve"> </w:t>
      </w:r>
      <w:r w:rsidR="00BC79B4" w:rsidRPr="008C7FCC">
        <w:t>model for</w:t>
      </w:r>
      <w:r w:rsidRPr="008C7FCC">
        <w:t xml:space="preserve"> measuring the condition of environmental </w:t>
      </w:r>
      <w:r w:rsidR="00AF78EC" w:rsidRPr="008C7FCC">
        <w:t>assets.</w:t>
      </w:r>
      <w:r w:rsidRPr="008C7FCC">
        <w:t xml:space="preserve">  In the Victorian approach, the expected future flows tabulated in the Physical Flow Accounts (</w:t>
      </w:r>
      <w:r w:rsidR="003233F7" w:rsidRPr="008C7FCC">
        <w:t xml:space="preserve">discussed </w:t>
      </w:r>
      <w:r w:rsidR="00B162EE" w:rsidRPr="008C7FCC">
        <w:t>below</w:t>
      </w:r>
      <w:r w:rsidRPr="008C7FCC">
        <w:t>) represent the overall condition of ecosystem assets.</w:t>
      </w:r>
    </w:p>
    <w:p w:rsidR="0084327B" w:rsidRPr="008C7FCC" w:rsidRDefault="0084327B" w:rsidP="0084327B">
      <w:pPr>
        <w:pStyle w:val="DSEHC"/>
      </w:pPr>
      <w:r w:rsidRPr="008C7FCC">
        <w:t>Ecosystem Accounting Units</w:t>
      </w:r>
    </w:p>
    <w:p w:rsidR="00C45154" w:rsidRPr="008C7FCC" w:rsidRDefault="0084327B" w:rsidP="0084327B">
      <w:pPr>
        <w:pStyle w:val="DSEBody"/>
      </w:pPr>
      <w:r w:rsidRPr="008C7FCC">
        <w:t xml:space="preserve">The aggregation and reporting of stocks in SEEA: EEA are based on Ecosystem Accounting Units (EAU).  An EAU is a spatially-fixed area about which there is interest in understanding and managing the stocks over time.  For example, Victoria has ten catchment regions (see </w:t>
      </w:r>
      <w:r w:rsidR="003233F7" w:rsidRPr="008C7FCC">
        <w:rPr>
          <w:highlight w:val="yellow"/>
        </w:rPr>
        <w:fldChar w:fldCharType="begin"/>
      </w:r>
      <w:r w:rsidR="003233F7" w:rsidRPr="008C7FCC">
        <w:instrText xml:space="preserve"> REF _Ref352067284 \h </w:instrText>
      </w:r>
      <w:r w:rsidR="003233F7" w:rsidRPr="008C7FCC">
        <w:rPr>
          <w:highlight w:val="yellow"/>
        </w:rPr>
      </w:r>
      <w:r w:rsidR="003233F7" w:rsidRPr="008C7FCC">
        <w:rPr>
          <w:highlight w:val="yellow"/>
        </w:rPr>
        <w:fldChar w:fldCharType="separate"/>
      </w:r>
      <w:r w:rsidR="00577A8F" w:rsidRPr="008C7FCC">
        <w:t xml:space="preserve">Figure </w:t>
      </w:r>
      <w:r w:rsidR="00577A8F">
        <w:rPr>
          <w:noProof/>
        </w:rPr>
        <w:t>2</w:t>
      </w:r>
      <w:r w:rsidR="003233F7" w:rsidRPr="008C7FCC">
        <w:rPr>
          <w:highlight w:val="yellow"/>
        </w:rPr>
        <w:fldChar w:fldCharType="end"/>
      </w:r>
      <w:r w:rsidR="003233F7" w:rsidRPr="008C7FCC">
        <w:t xml:space="preserve"> </w:t>
      </w:r>
      <w:r w:rsidRPr="008C7FCC">
        <w:t xml:space="preserve">below), each managed by a Catchment Management Authority (CMA).   EAUs based on the administrative boundaries of the catchment regions enable the aggregation and reporting of stocks for each CMA.   </w:t>
      </w:r>
      <w:r w:rsidR="002F016A" w:rsidRPr="008C7FCC">
        <w:rPr>
          <w:highlight w:val="yellow"/>
        </w:rPr>
        <w:fldChar w:fldCharType="begin"/>
      </w:r>
      <w:r w:rsidR="002F016A" w:rsidRPr="008C7FCC">
        <w:instrText xml:space="preserve"> REF _Ref352066711 \h </w:instrText>
      </w:r>
      <w:r w:rsidR="002F016A" w:rsidRPr="008C7FCC">
        <w:rPr>
          <w:highlight w:val="yellow"/>
        </w:rPr>
      </w:r>
      <w:r w:rsidR="002F016A" w:rsidRPr="008C7FCC">
        <w:rPr>
          <w:highlight w:val="yellow"/>
        </w:rPr>
        <w:fldChar w:fldCharType="separate"/>
      </w:r>
      <w:r w:rsidR="00577A8F" w:rsidRPr="008C7FCC">
        <w:t xml:space="preserve">Table </w:t>
      </w:r>
      <w:r w:rsidR="00577A8F">
        <w:rPr>
          <w:noProof/>
        </w:rPr>
        <w:t>2</w:t>
      </w:r>
      <w:r w:rsidR="002F016A" w:rsidRPr="008C7FCC">
        <w:rPr>
          <w:highlight w:val="yellow"/>
        </w:rPr>
        <w:fldChar w:fldCharType="end"/>
      </w:r>
      <w:r w:rsidR="002F016A" w:rsidRPr="008C7FCC">
        <w:t xml:space="preserve"> </w:t>
      </w:r>
      <w:r w:rsidRPr="008C7FCC">
        <w:t xml:space="preserve">shows an example of the Ecosystem Asset Accounts for the Corangamite Catchment Management Authority.  </w:t>
      </w:r>
      <w:r w:rsidR="003233F7" w:rsidRPr="008C7FCC">
        <w:t xml:space="preserve">The Appendix at the end of this document </w:t>
      </w:r>
      <w:r w:rsidRPr="008C7FCC">
        <w:t xml:space="preserve">contains a link </w:t>
      </w:r>
      <w:r w:rsidR="006446E6" w:rsidRPr="008C7FCC">
        <w:t xml:space="preserve">to the </w:t>
      </w:r>
      <w:r w:rsidRPr="008C7FCC">
        <w:t>data sets fo</w:t>
      </w:r>
      <w:r w:rsidR="003233F7" w:rsidRPr="008C7FCC">
        <w:t>r all CMAs</w:t>
      </w:r>
      <w:r w:rsidRPr="008C7FCC">
        <w:t>.</w:t>
      </w:r>
    </w:p>
    <w:p w:rsidR="0084327B" w:rsidRPr="008C7FCC" w:rsidRDefault="0084327B" w:rsidP="0084327B">
      <w:pPr>
        <w:pStyle w:val="DSEBody"/>
      </w:pPr>
      <w:r w:rsidRPr="008C7FCC">
        <w:lastRenderedPageBreak/>
        <w:t xml:space="preserve">  </w:t>
      </w:r>
    </w:p>
    <w:p w:rsidR="007D4012" w:rsidRPr="008C7FCC" w:rsidRDefault="007D4012" w:rsidP="003233F7">
      <w:pPr>
        <w:pStyle w:val="DSEBody"/>
        <w:keepNext/>
        <w:jc w:val="center"/>
      </w:pPr>
      <w:r w:rsidRPr="008C7FCC">
        <w:rPr>
          <w:noProof/>
          <w:lang w:eastAsia="en-AU"/>
        </w:rPr>
        <w:drawing>
          <wp:inline distT="0" distB="0" distL="0" distR="0" wp14:anchorId="120FFCFF" wp14:editId="0A698CF8">
            <wp:extent cx="4546121" cy="3217784"/>
            <wp:effectExtent l="0" t="0" r="6985" b="1905"/>
            <wp:docPr id="22" name="Picture 22" descr="http://www.dse.vic.gov.au/__data/assets/image/0017/102293/CMA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se.vic.gov.au/__data/assets/image/0017/102293/CMAMap.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7016" cy="3239652"/>
                    </a:xfrm>
                    <a:prstGeom prst="rect">
                      <a:avLst/>
                    </a:prstGeom>
                    <a:noFill/>
                    <a:ln>
                      <a:noFill/>
                    </a:ln>
                  </pic:spPr>
                </pic:pic>
              </a:graphicData>
            </a:graphic>
          </wp:inline>
        </w:drawing>
      </w:r>
    </w:p>
    <w:p w:rsidR="000459ED" w:rsidRPr="008C7FCC" w:rsidRDefault="007D4012" w:rsidP="002F016A">
      <w:pPr>
        <w:pStyle w:val="DSECaption"/>
      </w:pPr>
      <w:bookmarkStart w:id="18" w:name="_Ref352067284"/>
      <w:bookmarkStart w:id="19" w:name="_Toc352141267"/>
      <w:r w:rsidRPr="008C7FCC">
        <w:t xml:space="preserve">Figure </w:t>
      </w:r>
      <w:r w:rsidR="002A5794">
        <w:fldChar w:fldCharType="begin"/>
      </w:r>
      <w:r w:rsidR="002A5794">
        <w:instrText xml:space="preserve"> SEQ Figure \</w:instrText>
      </w:r>
      <w:r w:rsidR="002A5794">
        <w:instrText xml:space="preserve">* ARABIC </w:instrText>
      </w:r>
      <w:r w:rsidR="002A5794">
        <w:fldChar w:fldCharType="separate"/>
      </w:r>
      <w:r w:rsidR="00577A8F">
        <w:rPr>
          <w:noProof/>
        </w:rPr>
        <w:t>2</w:t>
      </w:r>
      <w:r w:rsidR="002A5794">
        <w:rPr>
          <w:noProof/>
        </w:rPr>
        <w:fldChar w:fldCharType="end"/>
      </w:r>
      <w:bookmarkEnd w:id="18"/>
      <w:r w:rsidRPr="008C7FCC">
        <w:t>. Catchment management regions in Victoria</w:t>
      </w:r>
      <w:bookmarkEnd w:id="19"/>
    </w:p>
    <w:p w:rsidR="002F016A" w:rsidRPr="008C7FCC" w:rsidRDefault="002F016A" w:rsidP="00EC5CBD">
      <w:pPr>
        <w:pStyle w:val="DSECaption"/>
        <w:keepNext/>
        <w:rPr>
          <w:highlight w:val="yellow"/>
        </w:rPr>
      </w:pPr>
      <w:bookmarkStart w:id="20" w:name="_Ref352066711"/>
      <w:bookmarkStart w:id="21" w:name="_Toc352141253"/>
      <w:r w:rsidRPr="008C7FCC">
        <w:t xml:space="preserve">Table </w:t>
      </w:r>
      <w:r w:rsidR="002A5794">
        <w:fldChar w:fldCharType="begin"/>
      </w:r>
      <w:r w:rsidR="002A5794">
        <w:instrText xml:space="preserve"> SEQ Table \* ARABIC </w:instrText>
      </w:r>
      <w:r w:rsidR="002A5794">
        <w:fldChar w:fldCharType="separate"/>
      </w:r>
      <w:r w:rsidR="00577A8F">
        <w:rPr>
          <w:noProof/>
        </w:rPr>
        <w:t>2</w:t>
      </w:r>
      <w:r w:rsidR="002A5794">
        <w:rPr>
          <w:noProof/>
        </w:rPr>
        <w:fldChar w:fldCharType="end"/>
      </w:r>
      <w:bookmarkEnd w:id="20"/>
      <w:r w:rsidRPr="008C7FCC">
        <w:t>. CCMA - Corangamite Catchment Management Authority: Terrestrial vegetation type by area and average vegetation condition, 1750 and 2005</w:t>
      </w:r>
      <w:bookmarkEnd w:id="21"/>
    </w:p>
    <w:p w:rsidR="0084327B" w:rsidRPr="008C7FCC" w:rsidRDefault="00C319DF" w:rsidP="00523D68">
      <w:pPr>
        <w:pStyle w:val="DSEBody"/>
        <w:jc w:val="center"/>
      </w:pPr>
      <w:r w:rsidRPr="008C7FCC">
        <w:rPr>
          <w:noProof/>
          <w:lang w:eastAsia="en-AU"/>
        </w:rPr>
        <w:drawing>
          <wp:inline distT="0" distB="0" distL="0" distR="0" wp14:anchorId="0E51C0C4" wp14:editId="715CDB4B">
            <wp:extent cx="4113779" cy="4464908"/>
            <wp:effectExtent l="0" t="0" r="127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19813" cy="4471457"/>
                    </a:xfrm>
                    <a:prstGeom prst="rect">
                      <a:avLst/>
                    </a:prstGeom>
                    <a:noFill/>
                    <a:ln>
                      <a:noFill/>
                    </a:ln>
                  </pic:spPr>
                </pic:pic>
              </a:graphicData>
            </a:graphic>
          </wp:inline>
        </w:drawing>
      </w:r>
    </w:p>
    <w:p w:rsidR="004144D6" w:rsidRPr="008C7FCC" w:rsidRDefault="0084327B" w:rsidP="004144D6">
      <w:pPr>
        <w:pStyle w:val="DSEBody"/>
      </w:pPr>
      <w:r w:rsidRPr="008C7FCC">
        <w:lastRenderedPageBreak/>
        <w:t>The EAUs can also be based on large-scale natural features and processes.  For example, Australia’s landscapes have been classified into several geographically distinct bioregions based on common climate, geology, landform, native vegetation and species information</w:t>
      </w:r>
      <w:r w:rsidRPr="008C7FCC">
        <w:endnoteReference w:id="19"/>
      </w:r>
      <w:r w:rsidR="00B94929" w:rsidRPr="008C7FCC">
        <w:t xml:space="preserve">.  </w:t>
      </w:r>
      <w:r w:rsidRPr="008C7FCC">
        <w:t>Victoria has 28 bioregions across the state (</w:t>
      </w:r>
      <w:r w:rsidR="002F016A" w:rsidRPr="008C7FCC">
        <w:fldChar w:fldCharType="begin"/>
      </w:r>
      <w:r w:rsidR="002F016A" w:rsidRPr="008C7FCC">
        <w:instrText xml:space="preserve"> REF _Ref352066735 \h </w:instrText>
      </w:r>
      <w:r w:rsidR="004B2BFE" w:rsidRPr="008C7FCC">
        <w:instrText xml:space="preserve"> \* MERGEFORMAT </w:instrText>
      </w:r>
      <w:r w:rsidR="002F016A" w:rsidRPr="008C7FCC">
        <w:fldChar w:fldCharType="separate"/>
      </w:r>
      <w:r w:rsidR="00577A8F" w:rsidRPr="008C7FCC">
        <w:t xml:space="preserve">Figure </w:t>
      </w:r>
      <w:r w:rsidR="00577A8F">
        <w:t>3</w:t>
      </w:r>
      <w:r w:rsidR="002F016A" w:rsidRPr="008C7FCC">
        <w:fldChar w:fldCharType="end"/>
      </w:r>
      <w:r w:rsidRPr="008C7FCC">
        <w:t>).  EAUs based on the bioregion boundaries enable the aggregation and reporting of stocks for each bioregion.</w:t>
      </w:r>
      <w:r w:rsidR="00D144BE" w:rsidRPr="008C7FCC">
        <w:t xml:space="preserve">  </w:t>
      </w:r>
      <w:r w:rsidR="002F016A" w:rsidRPr="008C7FCC">
        <w:fldChar w:fldCharType="begin"/>
      </w:r>
      <w:r w:rsidR="002F016A" w:rsidRPr="008C7FCC">
        <w:instrText xml:space="preserve"> REF _Ref352066748 \h </w:instrText>
      </w:r>
      <w:r w:rsidR="004B2BFE" w:rsidRPr="008C7FCC">
        <w:instrText xml:space="preserve"> \* MERGEFORMAT </w:instrText>
      </w:r>
      <w:r w:rsidR="002F016A" w:rsidRPr="008C7FCC">
        <w:fldChar w:fldCharType="separate"/>
      </w:r>
    </w:p>
    <w:p w:rsidR="0084327B" w:rsidRPr="008C7FCC" w:rsidRDefault="004144D6" w:rsidP="009A7BCF">
      <w:pPr>
        <w:pStyle w:val="DSEBody"/>
      </w:pPr>
      <w:r>
        <w:fldChar w:fldCharType="begin"/>
      </w:r>
      <w:r>
        <w:instrText xml:space="preserve"> REF _Ref352139450 \h </w:instrText>
      </w:r>
      <w:r>
        <w:fldChar w:fldCharType="separate"/>
      </w:r>
      <w:r w:rsidRPr="008C7FCC">
        <w:t xml:space="preserve">Table </w:t>
      </w:r>
      <w:r>
        <w:rPr>
          <w:noProof/>
        </w:rPr>
        <w:t>3</w:t>
      </w:r>
      <w:r>
        <w:fldChar w:fldCharType="end"/>
      </w:r>
      <w:r w:rsidR="002F016A" w:rsidRPr="008C7FCC">
        <w:fldChar w:fldCharType="end"/>
      </w:r>
      <w:r w:rsidR="002F016A" w:rsidRPr="008C7FCC">
        <w:t xml:space="preserve"> </w:t>
      </w:r>
      <w:r w:rsidR="0084327B" w:rsidRPr="008C7FCC">
        <w:t xml:space="preserve">shows an example of the Ecosystem Asset Accounts for the East Gippsland Lowlands bioregion.  </w:t>
      </w:r>
      <w:r w:rsidR="003233F7" w:rsidRPr="008C7FCC">
        <w:t xml:space="preserve">The Appendix at the end of this document </w:t>
      </w:r>
      <w:r w:rsidR="0084327B" w:rsidRPr="008C7FCC">
        <w:t>contains a link to the data sets for all the bioregions in Victoria.</w:t>
      </w:r>
    </w:p>
    <w:p w:rsidR="00D144BE" w:rsidRPr="008C7FCC" w:rsidRDefault="00D144BE" w:rsidP="009A7BCF">
      <w:pPr>
        <w:pStyle w:val="DSEBody"/>
      </w:pPr>
    </w:p>
    <w:p w:rsidR="00D144BE" w:rsidRPr="008C7FCC" w:rsidRDefault="00D144BE" w:rsidP="009A7BCF">
      <w:pPr>
        <w:pStyle w:val="DSEBody"/>
      </w:pPr>
    </w:p>
    <w:p w:rsidR="0084327B" w:rsidRPr="008C7FCC" w:rsidRDefault="0084327B" w:rsidP="009A7BCF">
      <w:pPr>
        <w:pStyle w:val="DSEBody"/>
      </w:pPr>
    </w:p>
    <w:p w:rsidR="002F016A" w:rsidRPr="008C7FCC" w:rsidRDefault="002F016A" w:rsidP="003233F7">
      <w:pPr>
        <w:pStyle w:val="DSEBody"/>
        <w:keepNext/>
        <w:jc w:val="center"/>
      </w:pPr>
      <w:r w:rsidRPr="008C7FCC">
        <w:rPr>
          <w:noProof/>
          <w:lang w:eastAsia="en-AU"/>
        </w:rPr>
        <w:drawing>
          <wp:inline distT="0" distB="0" distL="0" distR="0" wp14:anchorId="5C8B666F" wp14:editId="6AE59780">
            <wp:extent cx="4003382" cy="4595883"/>
            <wp:effectExtent l="19050" t="0" r="0" b="0"/>
            <wp:docPr id="6" name="Picture 6" descr="Bioregion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oregion Map"/>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02525" cy="4594899"/>
                    </a:xfrm>
                    <a:prstGeom prst="rect">
                      <a:avLst/>
                    </a:prstGeom>
                    <a:noFill/>
                    <a:ln>
                      <a:noFill/>
                    </a:ln>
                  </pic:spPr>
                </pic:pic>
              </a:graphicData>
            </a:graphic>
          </wp:inline>
        </w:drawing>
      </w:r>
    </w:p>
    <w:p w:rsidR="002F016A" w:rsidRPr="008C7FCC" w:rsidRDefault="002F016A" w:rsidP="002F016A">
      <w:pPr>
        <w:pStyle w:val="DSECaption"/>
      </w:pPr>
      <w:bookmarkStart w:id="22" w:name="_Ref352066735"/>
      <w:bookmarkStart w:id="23" w:name="_Toc352141268"/>
      <w:r w:rsidRPr="008C7FCC">
        <w:t xml:space="preserve">Figure </w:t>
      </w:r>
      <w:r w:rsidR="002A5794">
        <w:fldChar w:fldCharType="begin"/>
      </w:r>
      <w:r w:rsidR="002A5794">
        <w:instrText xml:space="preserve"> SEQ Figure \* ARABIC </w:instrText>
      </w:r>
      <w:r w:rsidR="002A5794">
        <w:fldChar w:fldCharType="separate"/>
      </w:r>
      <w:r w:rsidR="00577A8F">
        <w:rPr>
          <w:noProof/>
        </w:rPr>
        <w:t>3</w:t>
      </w:r>
      <w:r w:rsidR="002A5794">
        <w:rPr>
          <w:noProof/>
        </w:rPr>
        <w:fldChar w:fldCharType="end"/>
      </w:r>
      <w:bookmarkEnd w:id="22"/>
      <w:r w:rsidRPr="008C7FCC">
        <w:t>. Bioregions in Victoria</w:t>
      </w:r>
      <w:bookmarkEnd w:id="23"/>
    </w:p>
    <w:p w:rsidR="0084327B" w:rsidRPr="008C7FCC" w:rsidRDefault="0084327B" w:rsidP="009A7BCF">
      <w:pPr>
        <w:pStyle w:val="DSEBody"/>
      </w:pPr>
    </w:p>
    <w:p w:rsidR="002F016A" w:rsidRPr="008C7FCC" w:rsidRDefault="002F016A" w:rsidP="00EC5CBD">
      <w:pPr>
        <w:pStyle w:val="DSECaption"/>
        <w:keepNext/>
        <w:rPr>
          <w:highlight w:val="yellow"/>
        </w:rPr>
      </w:pPr>
      <w:bookmarkStart w:id="24" w:name="_Ref352139450"/>
      <w:bookmarkStart w:id="25" w:name="_Toc352141254"/>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3</w:t>
      </w:r>
      <w:r w:rsidR="002A5794">
        <w:rPr>
          <w:noProof/>
        </w:rPr>
        <w:fldChar w:fldCharType="end"/>
      </w:r>
      <w:bookmarkEnd w:id="24"/>
      <w:r w:rsidRPr="008C7FCC">
        <w:t>. Bioregion - EGL - East Gippsland Lowlands: Terrestrial vegetation type by area and average vegetation condition, 1750 and 2005</w:t>
      </w:r>
      <w:bookmarkEnd w:id="25"/>
    </w:p>
    <w:p w:rsidR="0084327B" w:rsidRPr="008C7FCC" w:rsidRDefault="00C319DF" w:rsidP="00523D68">
      <w:pPr>
        <w:pStyle w:val="DSEBody"/>
        <w:jc w:val="center"/>
      </w:pPr>
      <w:r w:rsidRPr="008C7FCC">
        <w:rPr>
          <w:noProof/>
          <w:lang w:eastAsia="en-AU"/>
        </w:rPr>
        <w:drawing>
          <wp:inline distT="0" distB="0" distL="0" distR="0" wp14:anchorId="5A4A3030" wp14:editId="6B277A13">
            <wp:extent cx="5129269" cy="461175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30118" cy="4612519"/>
                    </a:xfrm>
                    <a:prstGeom prst="rect">
                      <a:avLst/>
                    </a:prstGeom>
                    <a:noFill/>
                    <a:ln>
                      <a:noFill/>
                    </a:ln>
                  </pic:spPr>
                </pic:pic>
              </a:graphicData>
            </a:graphic>
          </wp:inline>
        </w:drawing>
      </w:r>
    </w:p>
    <w:p w:rsidR="00EC5CBD" w:rsidRPr="008C7FCC" w:rsidRDefault="00EC5CBD" w:rsidP="0084327B">
      <w:pPr>
        <w:pStyle w:val="DSEHC"/>
      </w:pPr>
    </w:p>
    <w:p w:rsidR="004144D6" w:rsidRDefault="004144D6">
      <w:pPr>
        <w:rPr>
          <w:rFonts w:ascii="Arial" w:hAnsi="Arial" w:cs="Arial"/>
          <w:b/>
          <w:sz w:val="18"/>
        </w:rPr>
      </w:pPr>
      <w:r>
        <w:br w:type="page"/>
      </w:r>
    </w:p>
    <w:p w:rsidR="0084327B" w:rsidRPr="008C7FCC" w:rsidRDefault="0084327B" w:rsidP="0084327B">
      <w:pPr>
        <w:pStyle w:val="DSEHC"/>
      </w:pPr>
      <w:r w:rsidRPr="008C7FCC">
        <w:lastRenderedPageBreak/>
        <w:t>Links to Land Accounts</w:t>
      </w:r>
    </w:p>
    <w:p w:rsidR="0084327B" w:rsidRPr="008C7FCC" w:rsidRDefault="00B94929" w:rsidP="000D2957">
      <w:pPr>
        <w:pStyle w:val="DSEBody"/>
      </w:pPr>
      <w:r w:rsidRPr="008C7FCC">
        <w:t xml:space="preserve">The EAUs provide a </w:t>
      </w:r>
      <w:r w:rsidR="0084327B" w:rsidRPr="008C7FCC">
        <w:t xml:space="preserve">link between the Ecosystem Asset Accounts and the socio-economic information contained in the ABS Experimental Land Accounts as well as other social and economic data </w:t>
      </w:r>
      <w:r w:rsidR="004C735F" w:rsidRPr="008C7FCC">
        <w:t>compiled</w:t>
      </w:r>
      <w:r w:rsidR="0084327B" w:rsidRPr="008C7FCC">
        <w:t xml:space="preserve"> by the ABS.  For example, EAUs based on CMA boundaries make it possible to overlay ecosystem stocks information on land valuation data reported in the ABS Land Accounts </w:t>
      </w:r>
      <w:r w:rsidR="009429C7">
        <w:t>(</w:t>
      </w:r>
      <w:r w:rsidR="009429C7">
        <w:fldChar w:fldCharType="begin"/>
      </w:r>
      <w:r w:rsidR="009429C7">
        <w:instrText xml:space="preserve"> REF _Ref352030987 \h </w:instrText>
      </w:r>
      <w:r w:rsidR="009429C7">
        <w:fldChar w:fldCharType="separate"/>
      </w:r>
      <w:r w:rsidR="00577A8F">
        <w:t xml:space="preserve">Figure </w:t>
      </w:r>
      <w:r w:rsidR="00577A8F">
        <w:rPr>
          <w:noProof/>
        </w:rPr>
        <w:t>4</w:t>
      </w:r>
      <w:r w:rsidR="009429C7">
        <w:fldChar w:fldCharType="end"/>
      </w:r>
      <w:r w:rsidR="009429C7">
        <w:t>).</w:t>
      </w:r>
    </w:p>
    <w:p w:rsidR="00C202E5" w:rsidRPr="008C7FCC" w:rsidRDefault="00C202E5" w:rsidP="000D2957">
      <w:pPr>
        <w:pStyle w:val="DSEBody"/>
      </w:pPr>
    </w:p>
    <w:p w:rsidR="00E8720D" w:rsidRPr="008C7FCC" w:rsidRDefault="00E8720D" w:rsidP="0084327B">
      <w:pPr>
        <w:pStyle w:val="DSEBody"/>
      </w:pPr>
    </w:p>
    <w:p w:rsidR="00EF6DBE" w:rsidRPr="008C7FCC" w:rsidRDefault="00EC5CBD" w:rsidP="00523D68">
      <w:pPr>
        <w:pStyle w:val="DSECaption"/>
        <w:jc w:val="center"/>
      </w:pPr>
      <w:bookmarkStart w:id="26" w:name="_Ref352066769"/>
      <w:r w:rsidRPr="008C7FCC">
        <w:rPr>
          <w:noProof/>
          <w:lang w:eastAsia="en-AU"/>
        </w:rPr>
        <w:drawing>
          <wp:inline distT="0" distB="0" distL="0" distR="0" wp14:anchorId="181E1247" wp14:editId="54AFE71D">
            <wp:extent cx="5086350" cy="3257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 extent and land value.png"/>
                    <pic:cNvPicPr/>
                  </pic:nvPicPr>
                  <pic:blipFill rotWithShape="1">
                    <a:blip r:embed="rId28">
                      <a:extLst>
                        <a:ext uri="{28A0092B-C50C-407E-A947-70E740481C1C}">
                          <a14:useLocalDpi xmlns:a14="http://schemas.microsoft.com/office/drawing/2010/main" val="0"/>
                        </a:ext>
                      </a:extLst>
                    </a:blip>
                    <a:srcRect r="16949"/>
                    <a:stretch/>
                  </pic:blipFill>
                  <pic:spPr bwMode="auto">
                    <a:xfrm>
                      <a:off x="0" y="0"/>
                      <a:ext cx="5086350" cy="3257550"/>
                    </a:xfrm>
                    <a:prstGeom prst="rect">
                      <a:avLst/>
                    </a:prstGeom>
                    <a:ln>
                      <a:noFill/>
                    </a:ln>
                    <a:extLst>
                      <a:ext uri="{53640926-AAD7-44D8-BBD7-CCE9431645EC}">
                        <a14:shadowObscured xmlns:a14="http://schemas.microsoft.com/office/drawing/2010/main"/>
                      </a:ext>
                    </a:extLst>
                  </pic:spPr>
                </pic:pic>
              </a:graphicData>
            </a:graphic>
          </wp:inline>
        </w:drawing>
      </w:r>
    </w:p>
    <w:p w:rsidR="004144D6" w:rsidRDefault="009429C7" w:rsidP="009429C7">
      <w:pPr>
        <w:pStyle w:val="DSECaption"/>
      </w:pPr>
      <w:bookmarkStart w:id="27" w:name="_Ref352030987"/>
      <w:bookmarkStart w:id="28" w:name="_Toc352141269"/>
      <w:bookmarkEnd w:id="26"/>
      <w:r>
        <w:t xml:space="preserve">Figure </w:t>
      </w:r>
      <w:r w:rsidR="002A5794">
        <w:fldChar w:fldCharType="begin"/>
      </w:r>
      <w:r w:rsidR="002A5794">
        <w:instrText xml:space="preserve"> SEQ Figure \* ARABIC </w:instrText>
      </w:r>
      <w:r w:rsidR="002A5794">
        <w:fldChar w:fldCharType="separate"/>
      </w:r>
      <w:r w:rsidR="00577A8F">
        <w:rPr>
          <w:noProof/>
        </w:rPr>
        <w:t>4</w:t>
      </w:r>
      <w:r w:rsidR="002A5794">
        <w:rPr>
          <w:noProof/>
        </w:rPr>
        <w:fldChar w:fldCharType="end"/>
      </w:r>
      <w:bookmarkEnd w:id="27"/>
      <w:r>
        <w:t xml:space="preserve">  </w:t>
      </w:r>
      <w:r w:rsidRPr="00775C00">
        <w:t>Terrestrial vegetation and extent superimposed on map of land values by CMA</w:t>
      </w:r>
      <w:bookmarkEnd w:id="28"/>
    </w:p>
    <w:p w:rsidR="00E8720D" w:rsidRPr="008C7FCC" w:rsidRDefault="00E8720D" w:rsidP="004144D6">
      <w:pPr>
        <w:pStyle w:val="DSEBody"/>
      </w:pPr>
    </w:p>
    <w:p w:rsidR="00CB7DBF" w:rsidRPr="008C7FCC" w:rsidRDefault="00FC3251" w:rsidP="0084327B">
      <w:pPr>
        <w:pStyle w:val="DSEBody"/>
      </w:pPr>
      <w:r w:rsidRPr="008C7FCC">
        <w:t>The ABS Statistical Areas</w:t>
      </w:r>
      <w:r w:rsidRPr="003C5647">
        <w:rPr>
          <w:vertAlign w:val="superscript"/>
        </w:rPr>
        <w:endnoteReference w:id="20"/>
      </w:r>
      <w:r w:rsidR="0084327B" w:rsidRPr="008C7FCC">
        <w:t xml:space="preserve"> provide multi-scale hierarchical EAUs for the aggregation and reporting of ecosystem stocks, and for linking the ecosystem accounting information to socio-economic data in the ABS Land Accounts.   </w:t>
      </w:r>
      <w:r w:rsidR="00B51F24">
        <w:fldChar w:fldCharType="begin"/>
      </w:r>
      <w:r w:rsidR="00B51F24">
        <w:instrText xml:space="preserve"> REF _Ref352030650 \h </w:instrText>
      </w:r>
      <w:r w:rsidR="00B51F24">
        <w:fldChar w:fldCharType="separate"/>
      </w:r>
      <w:r w:rsidR="00577A8F" w:rsidRPr="008C7FCC">
        <w:t xml:space="preserve">Table </w:t>
      </w:r>
      <w:r w:rsidR="00577A8F">
        <w:rPr>
          <w:noProof/>
        </w:rPr>
        <w:t>4</w:t>
      </w:r>
      <w:r w:rsidR="00B51F24">
        <w:fldChar w:fldCharType="end"/>
      </w:r>
      <w:r w:rsidR="00B51F24">
        <w:t xml:space="preserve">  </w:t>
      </w:r>
      <w:r w:rsidR="0084327B" w:rsidRPr="008C7FCC">
        <w:t>shows an example of the Ecosystem Asset Accounts for a Level-4 Statistical Area (SA4-205 – Latrobe-Gippsland).</w:t>
      </w:r>
      <w:r w:rsidR="00B51F24">
        <w:t xml:space="preserve">  </w:t>
      </w:r>
      <w:r w:rsidR="00B51F24">
        <w:fldChar w:fldCharType="begin"/>
      </w:r>
      <w:r w:rsidR="00B51F24">
        <w:instrText xml:space="preserve"> REF _Ref352030677 \h </w:instrText>
      </w:r>
      <w:r w:rsidR="00B51F24">
        <w:fldChar w:fldCharType="separate"/>
      </w:r>
      <w:r w:rsidR="00577A8F" w:rsidRPr="008C7FCC">
        <w:t xml:space="preserve">Table </w:t>
      </w:r>
      <w:r w:rsidR="00577A8F">
        <w:rPr>
          <w:noProof/>
        </w:rPr>
        <w:t>5</w:t>
      </w:r>
      <w:r w:rsidR="00B51F24">
        <w:fldChar w:fldCharType="end"/>
      </w:r>
      <w:r w:rsidR="00B51F24">
        <w:t xml:space="preserve">  </w:t>
      </w:r>
      <w:r w:rsidR="0084327B" w:rsidRPr="008C7FCC">
        <w:t xml:space="preserve">shows the corresponding socio-economic data compiled by the Australia Bureau of Statistics for the same Statistical Area.  </w:t>
      </w:r>
    </w:p>
    <w:p w:rsidR="00CB7DBF" w:rsidRPr="008C7FCC" w:rsidRDefault="00CB7DBF" w:rsidP="007B18B5">
      <w:pPr>
        <w:pStyle w:val="DSECaption"/>
        <w:keepNext/>
      </w:pPr>
      <w:bookmarkStart w:id="29" w:name="_Ref352066748"/>
    </w:p>
    <w:p w:rsidR="00EF6DBE" w:rsidRPr="008C7FCC" w:rsidRDefault="002F016A" w:rsidP="007B18B5">
      <w:pPr>
        <w:pStyle w:val="DSECaption"/>
        <w:keepNext/>
      </w:pPr>
      <w:bookmarkStart w:id="30" w:name="_Ref352030650"/>
      <w:bookmarkStart w:id="31" w:name="_Toc352141255"/>
      <w:r w:rsidRPr="008C7FCC">
        <w:t xml:space="preserve">Table </w:t>
      </w:r>
      <w:r w:rsidR="002A5794">
        <w:fldChar w:fldCharType="begin"/>
      </w:r>
      <w:r w:rsidR="002A5794">
        <w:instrText xml:space="preserve"> SEQ Table \* ARABIC </w:instrText>
      </w:r>
      <w:r w:rsidR="002A5794">
        <w:fldChar w:fldCharType="separate"/>
      </w:r>
      <w:r w:rsidR="00577A8F">
        <w:rPr>
          <w:noProof/>
        </w:rPr>
        <w:t>4</w:t>
      </w:r>
      <w:r w:rsidR="002A5794">
        <w:rPr>
          <w:noProof/>
        </w:rPr>
        <w:fldChar w:fldCharType="end"/>
      </w:r>
      <w:bookmarkEnd w:id="29"/>
      <w:bookmarkEnd w:id="30"/>
      <w:r w:rsidRPr="008C7FCC">
        <w:t>. SA4-205 - Latrobe - Gippsland: Terrestrial vegetation type by area and average vegetation condition, 1750 and 2005</w:t>
      </w:r>
      <w:bookmarkEnd w:id="31"/>
    </w:p>
    <w:p w:rsidR="002F016A" w:rsidRPr="008C7FCC" w:rsidRDefault="007B18B5" w:rsidP="00523D68">
      <w:pPr>
        <w:pStyle w:val="DSECaption"/>
        <w:keepNext/>
        <w:jc w:val="center"/>
      </w:pPr>
      <w:r w:rsidRPr="008C7FCC">
        <w:rPr>
          <w:noProof/>
          <w:lang w:eastAsia="en-AU"/>
        </w:rPr>
        <w:drawing>
          <wp:inline distT="0" distB="0" distL="0" distR="0" wp14:anchorId="5A4F0B3B" wp14:editId="256ECB2C">
            <wp:extent cx="4334817" cy="4611756"/>
            <wp:effectExtent l="0" t="0" r="889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34607" cy="4611533"/>
                    </a:xfrm>
                    <a:prstGeom prst="rect">
                      <a:avLst/>
                    </a:prstGeom>
                    <a:noFill/>
                    <a:ln>
                      <a:noFill/>
                    </a:ln>
                  </pic:spPr>
                </pic:pic>
              </a:graphicData>
            </a:graphic>
          </wp:inline>
        </w:drawing>
      </w:r>
    </w:p>
    <w:p w:rsidR="00CB7DBF" w:rsidRPr="008C7FCC" w:rsidRDefault="00CB7DBF" w:rsidP="007B18B5">
      <w:pPr>
        <w:pStyle w:val="DSECaption"/>
        <w:keepNext/>
        <w:rPr>
          <w:highlight w:val="yellow"/>
        </w:rPr>
      </w:pPr>
    </w:p>
    <w:p w:rsidR="00D0695E" w:rsidRPr="008C7FCC" w:rsidRDefault="00D0695E" w:rsidP="00CB7DBF">
      <w:bookmarkStart w:id="32" w:name="_Ref352066807"/>
    </w:p>
    <w:p w:rsidR="00E8720D" w:rsidRPr="008C7FCC" w:rsidRDefault="00E8720D" w:rsidP="00D0695E">
      <w:pPr>
        <w:pStyle w:val="DSECaption"/>
        <w:keepNext/>
        <w:jc w:val="center"/>
      </w:pPr>
    </w:p>
    <w:p w:rsidR="002F016A" w:rsidRPr="008C7FCC" w:rsidRDefault="002F016A" w:rsidP="00653667">
      <w:pPr>
        <w:pStyle w:val="DSECaption"/>
        <w:keepNext/>
      </w:pPr>
      <w:bookmarkStart w:id="33" w:name="_Ref352030677"/>
      <w:bookmarkStart w:id="34" w:name="_Toc352141256"/>
      <w:r w:rsidRPr="008C7FCC">
        <w:t xml:space="preserve">Table </w:t>
      </w:r>
      <w:r w:rsidR="002A5794">
        <w:fldChar w:fldCharType="begin"/>
      </w:r>
      <w:r w:rsidR="002A5794">
        <w:instrText xml:space="preserve"> SEQ Table \* ARABIC </w:instrText>
      </w:r>
      <w:r w:rsidR="002A5794">
        <w:fldChar w:fldCharType="separate"/>
      </w:r>
      <w:r w:rsidR="00577A8F">
        <w:rPr>
          <w:noProof/>
        </w:rPr>
        <w:t>5</w:t>
      </w:r>
      <w:r w:rsidR="002A5794">
        <w:rPr>
          <w:noProof/>
        </w:rPr>
        <w:fldChar w:fldCharType="end"/>
      </w:r>
      <w:bookmarkEnd w:id="32"/>
      <w:bookmarkEnd w:id="33"/>
      <w:r w:rsidRPr="008C7FCC">
        <w:t>. SA4-205 Latrobe Gippsland socio-economic data</w:t>
      </w:r>
      <w:bookmarkEnd w:id="34"/>
    </w:p>
    <w:p w:rsidR="002F016A" w:rsidRPr="008C7FCC" w:rsidRDefault="003233F7" w:rsidP="00523D68">
      <w:pPr>
        <w:pStyle w:val="DSECaption"/>
        <w:jc w:val="center"/>
      </w:pPr>
      <w:r w:rsidRPr="008C7FCC">
        <w:rPr>
          <w:noProof/>
          <w:lang w:eastAsia="en-AU"/>
        </w:rPr>
        <w:drawing>
          <wp:inline distT="0" distB="0" distL="0" distR="0" wp14:anchorId="267530AD" wp14:editId="78D92094">
            <wp:extent cx="4630521" cy="2711212"/>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32456" cy="2712345"/>
                    </a:xfrm>
                    <a:prstGeom prst="rect">
                      <a:avLst/>
                    </a:prstGeom>
                    <a:noFill/>
                    <a:ln>
                      <a:noFill/>
                    </a:ln>
                  </pic:spPr>
                </pic:pic>
              </a:graphicData>
            </a:graphic>
          </wp:inline>
        </w:drawing>
      </w:r>
    </w:p>
    <w:p w:rsidR="002F016A" w:rsidRPr="008C7FCC" w:rsidRDefault="002F016A" w:rsidP="0084327B">
      <w:pPr>
        <w:pStyle w:val="DSEBody"/>
      </w:pPr>
    </w:p>
    <w:p w:rsidR="00B733B8" w:rsidRDefault="00FC3251" w:rsidP="0084327B">
      <w:pPr>
        <w:pStyle w:val="DSEBody"/>
      </w:pPr>
      <w:r w:rsidRPr="008C7FCC">
        <w:t xml:space="preserve">The stocks can also be aggregated and reported in a manner that relates directly to the classification schemes in the ABS Experimental Land Accounts.  For example, </w:t>
      </w:r>
      <w:r w:rsidR="002F016A" w:rsidRPr="008C7FCC">
        <w:rPr>
          <w:highlight w:val="yellow"/>
        </w:rPr>
        <w:fldChar w:fldCharType="begin"/>
      </w:r>
      <w:r w:rsidR="002F016A" w:rsidRPr="008C7FCC">
        <w:instrText xml:space="preserve"> REF _Ref352066828 \h </w:instrText>
      </w:r>
      <w:r w:rsidR="002F016A" w:rsidRPr="008C7FCC">
        <w:rPr>
          <w:highlight w:val="yellow"/>
        </w:rPr>
      </w:r>
      <w:r w:rsidR="002F016A" w:rsidRPr="008C7FCC">
        <w:rPr>
          <w:highlight w:val="yellow"/>
        </w:rPr>
        <w:fldChar w:fldCharType="separate"/>
      </w:r>
      <w:r w:rsidR="00577A8F" w:rsidRPr="008C7FCC">
        <w:t xml:space="preserve">Table </w:t>
      </w:r>
      <w:r w:rsidR="00577A8F">
        <w:rPr>
          <w:noProof/>
        </w:rPr>
        <w:t>6</w:t>
      </w:r>
      <w:r w:rsidR="002F016A" w:rsidRPr="008C7FCC">
        <w:rPr>
          <w:highlight w:val="yellow"/>
        </w:rPr>
        <w:fldChar w:fldCharType="end"/>
      </w:r>
      <w:r w:rsidR="002F016A" w:rsidRPr="008C7FCC">
        <w:t xml:space="preserve"> </w:t>
      </w:r>
      <w:r w:rsidRPr="008C7FCC">
        <w:t>shows the stocks in relation to land use.  Note that although land use classifications do not define spatially-fixed EAUs, land use classification is a primary key in the ABS Land Accounts.</w:t>
      </w:r>
    </w:p>
    <w:p w:rsidR="004144D6" w:rsidRPr="008C7FCC" w:rsidRDefault="004144D6" w:rsidP="0084327B">
      <w:pPr>
        <w:pStyle w:val="DSEBody"/>
      </w:pPr>
    </w:p>
    <w:p w:rsidR="000459ED" w:rsidRPr="008C7FCC" w:rsidRDefault="000459ED" w:rsidP="002161F9">
      <w:pPr>
        <w:pStyle w:val="DSECaption"/>
        <w:keepNext/>
      </w:pPr>
      <w:bookmarkStart w:id="35" w:name="_Ref352066828"/>
      <w:bookmarkStart w:id="36" w:name="_Toc352141257"/>
      <w:r w:rsidRPr="008C7FCC">
        <w:t xml:space="preserve">Table </w:t>
      </w:r>
      <w:r w:rsidR="002A5794">
        <w:fldChar w:fldCharType="begin"/>
      </w:r>
      <w:r w:rsidR="002A5794">
        <w:instrText xml:space="preserve"> SEQ Table \* ARABIC </w:instrText>
      </w:r>
      <w:r w:rsidR="002A5794">
        <w:fldChar w:fldCharType="separate"/>
      </w:r>
      <w:r w:rsidR="00577A8F">
        <w:rPr>
          <w:noProof/>
        </w:rPr>
        <w:t>6</w:t>
      </w:r>
      <w:r w:rsidR="002A5794">
        <w:rPr>
          <w:noProof/>
        </w:rPr>
        <w:fldChar w:fldCharType="end"/>
      </w:r>
      <w:bookmarkEnd w:id="35"/>
      <w:r w:rsidRPr="008C7FCC">
        <w:t>. Land-ecosystem asset account - Victorian land classified by Major Vegetation Groups (NVIS), aggregated by land use (VLUIS, 2005)</w:t>
      </w:r>
      <w:bookmarkEnd w:id="36"/>
    </w:p>
    <w:p w:rsidR="000459ED" w:rsidRPr="008C7FCC" w:rsidRDefault="00677E9B" w:rsidP="0084327B">
      <w:pPr>
        <w:pStyle w:val="DSEBody"/>
      </w:pPr>
      <w:r w:rsidRPr="008C7FCC">
        <w:rPr>
          <w:noProof/>
          <w:lang w:eastAsia="en-AU"/>
        </w:rPr>
        <w:drawing>
          <wp:inline distT="0" distB="0" distL="0" distR="0" wp14:anchorId="3CC3D5C3" wp14:editId="3FEC6764">
            <wp:extent cx="6332787" cy="3289110"/>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32347" cy="3288882"/>
                    </a:xfrm>
                    <a:prstGeom prst="rect">
                      <a:avLst/>
                    </a:prstGeom>
                    <a:noFill/>
                    <a:ln>
                      <a:noFill/>
                    </a:ln>
                  </pic:spPr>
                </pic:pic>
              </a:graphicData>
            </a:graphic>
          </wp:inline>
        </w:drawing>
      </w:r>
    </w:p>
    <w:p w:rsidR="00D84801" w:rsidRPr="008C7FCC" w:rsidRDefault="00D84801">
      <w:pPr>
        <w:rPr>
          <w:rFonts w:ascii="Arial" w:hAnsi="Arial" w:cs="Arial"/>
          <w:sz w:val="18"/>
        </w:rPr>
      </w:pPr>
      <w:r w:rsidRPr="008C7FCC">
        <w:br w:type="page"/>
      </w:r>
    </w:p>
    <w:p w:rsidR="00FC3251" w:rsidRPr="008C7FCC" w:rsidRDefault="00FC3251" w:rsidP="00B733B8">
      <w:pPr>
        <w:pStyle w:val="DSEHC"/>
        <w:keepNext/>
      </w:pPr>
      <w:r w:rsidRPr="008C7FCC">
        <w:lastRenderedPageBreak/>
        <w:t xml:space="preserve">Alternative classification schemes </w:t>
      </w:r>
    </w:p>
    <w:p w:rsidR="00FC3251" w:rsidRPr="008C7FCC" w:rsidRDefault="00FC3251" w:rsidP="00FC3251">
      <w:pPr>
        <w:pStyle w:val="DSEBody"/>
      </w:pPr>
      <w:r w:rsidRPr="008C7FCC">
        <w:t>The SEEA: EEA framework allows for flexibility in the choice of classification schemes for Ecosystem Asset Accounts.  The classification of Land Cover/Ecosystem Units (LCEU) depends on the type of ecosystem</w:t>
      </w:r>
      <w:r w:rsidR="00914E3B" w:rsidRPr="008C7FCC">
        <w:t xml:space="preserve"> assets that are of interest.  For example, t</w:t>
      </w:r>
      <w:r w:rsidRPr="008C7FCC">
        <w:t xml:space="preserve">he Major Vegetation Groups in NVIS focus on terrestrial vegetation.  In Victoria, there are alternative classification schemes that focus on wetland and river assets.  The classification schemes </w:t>
      </w:r>
      <w:r w:rsidR="00E64CA0" w:rsidRPr="008C7FCC">
        <w:t xml:space="preserve">are important because they also </w:t>
      </w:r>
      <w:r w:rsidRPr="008C7FCC">
        <w:t>determine the methodology for measuring the quantity and quality of the stocks.</w:t>
      </w:r>
    </w:p>
    <w:p w:rsidR="00FC3251" w:rsidRPr="008C7FCC" w:rsidRDefault="002F016A" w:rsidP="00FC3251">
      <w:pPr>
        <w:pStyle w:val="DSEBody"/>
      </w:pPr>
      <w:r w:rsidRPr="008C7FCC">
        <w:rPr>
          <w:highlight w:val="yellow"/>
        </w:rPr>
        <w:fldChar w:fldCharType="begin"/>
      </w:r>
      <w:r w:rsidRPr="008C7FCC">
        <w:instrText xml:space="preserve"> REF _Ref352066840 \h </w:instrText>
      </w:r>
      <w:r w:rsidRPr="008C7FCC">
        <w:rPr>
          <w:highlight w:val="yellow"/>
        </w:rPr>
      </w:r>
      <w:r w:rsidRPr="008C7FCC">
        <w:rPr>
          <w:highlight w:val="yellow"/>
        </w:rPr>
        <w:fldChar w:fldCharType="separate"/>
      </w:r>
      <w:r w:rsidR="00577A8F" w:rsidRPr="008C7FCC">
        <w:t xml:space="preserve">Table </w:t>
      </w:r>
      <w:r w:rsidR="00577A8F">
        <w:rPr>
          <w:noProof/>
        </w:rPr>
        <w:t>7</w:t>
      </w:r>
      <w:r w:rsidRPr="008C7FCC">
        <w:rPr>
          <w:highlight w:val="yellow"/>
        </w:rPr>
        <w:fldChar w:fldCharType="end"/>
      </w:r>
      <w:r w:rsidRPr="008C7FCC">
        <w:t xml:space="preserve"> </w:t>
      </w:r>
      <w:r w:rsidR="00FC3251" w:rsidRPr="008C7FCC">
        <w:t>shows an example of the Ecosystem Asset Accounts where the LCEUs are classified based on wetland types.  The table shows the estimated extent and condition of naturally and non-naturally occurring Victorian wetland systems across three time periods – 1750 (pre-European settlement), 1994 and 2012.  The extent is measured in hectares, but the condition is a normalised measure based on the Index of Wetland Condition</w:t>
      </w:r>
      <w:r w:rsidR="00FC3251" w:rsidRPr="008C7FCC">
        <w:rPr>
          <w:rStyle w:val="EndnoteReference"/>
        </w:rPr>
        <w:endnoteReference w:id="21"/>
      </w:r>
      <w:r w:rsidR="004144D6">
        <w:t xml:space="preserve"> from</w:t>
      </w:r>
      <w:r w:rsidR="00A07E3D">
        <w:t xml:space="preserve"> wetlands sampled</w:t>
      </w:r>
      <w:r w:rsidR="004144D6">
        <w:t xml:space="preserve"> by the Victorian government</w:t>
      </w:r>
      <w:r w:rsidR="00A07E3D">
        <w:t xml:space="preserve">. </w:t>
      </w:r>
      <w:r w:rsidR="00FC3251" w:rsidRPr="008C7FCC">
        <w:t>The table shows that although the current total extent of wetlands is similar to that of pre-European settlement, considerable changes in the extent of various types of wetland systems have occurred. There was a 154,000</w:t>
      </w:r>
      <w:r w:rsidR="00A07E3D">
        <w:t xml:space="preserve"> hectares</w:t>
      </w:r>
      <w:r w:rsidR="00FC3251" w:rsidRPr="008C7FCC">
        <w:t xml:space="preserve"> increase in non-naturally occurring wetlands and a loss of 165,000</w:t>
      </w:r>
      <w:r w:rsidR="00A07E3D">
        <w:t xml:space="preserve"> hectares</w:t>
      </w:r>
      <w:r w:rsidR="00FC3251" w:rsidRPr="008C7FCC">
        <w:t xml:space="preserve"> of natural wetlands.  The table also shows how the mean condition of the remaining wetland systems is approximately 0.7/Ha compared to 1.0/Ha in 1750. </w:t>
      </w:r>
    </w:p>
    <w:p w:rsidR="004929B0" w:rsidRPr="008C7FCC" w:rsidRDefault="004929B0" w:rsidP="00FC3251">
      <w:pPr>
        <w:pStyle w:val="DSEBody"/>
      </w:pPr>
    </w:p>
    <w:p w:rsidR="000459ED" w:rsidRPr="008C7FCC" w:rsidRDefault="000459ED" w:rsidP="00653667">
      <w:pPr>
        <w:pStyle w:val="DSECaption"/>
        <w:keepNext/>
      </w:pPr>
      <w:bookmarkStart w:id="37" w:name="_Ref352066840"/>
      <w:bookmarkStart w:id="38" w:name="_Toc352141258"/>
      <w:r w:rsidRPr="008C7FCC">
        <w:t xml:space="preserve">Table </w:t>
      </w:r>
      <w:r w:rsidR="002A5794">
        <w:fldChar w:fldCharType="begin"/>
      </w:r>
      <w:r w:rsidR="002A5794">
        <w:instrText xml:space="preserve"> SEQ Table \* AR</w:instrText>
      </w:r>
      <w:r w:rsidR="002A5794">
        <w:instrText xml:space="preserve">ABIC </w:instrText>
      </w:r>
      <w:r w:rsidR="002A5794">
        <w:fldChar w:fldCharType="separate"/>
      </w:r>
      <w:r w:rsidR="00577A8F">
        <w:rPr>
          <w:noProof/>
        </w:rPr>
        <w:t>7</w:t>
      </w:r>
      <w:r w:rsidR="002A5794">
        <w:rPr>
          <w:noProof/>
        </w:rPr>
        <w:fldChar w:fldCharType="end"/>
      </w:r>
      <w:bookmarkEnd w:id="37"/>
      <w:r w:rsidRPr="008C7FCC">
        <w:t>. Victorian wetland extent and condition classified by wetland system and origin: 1750, 1994, 2012</w:t>
      </w:r>
      <w:bookmarkEnd w:id="38"/>
    </w:p>
    <w:p w:rsidR="00FC3251" w:rsidRPr="008C7FCC" w:rsidRDefault="000459ED" w:rsidP="00FC3251">
      <w:pPr>
        <w:pStyle w:val="DSEBody"/>
      </w:pPr>
      <w:r w:rsidRPr="008C7FCC">
        <w:rPr>
          <w:noProof/>
          <w:lang w:eastAsia="en-AU"/>
        </w:rPr>
        <w:drawing>
          <wp:inline distT="0" distB="0" distL="0" distR="0" wp14:anchorId="6B474117" wp14:editId="2799006D">
            <wp:extent cx="6120765" cy="314775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147754"/>
                    </a:xfrm>
                    <a:prstGeom prst="rect">
                      <a:avLst/>
                    </a:prstGeom>
                    <a:noFill/>
                    <a:ln>
                      <a:noFill/>
                    </a:ln>
                  </pic:spPr>
                </pic:pic>
              </a:graphicData>
            </a:graphic>
          </wp:inline>
        </w:drawing>
      </w:r>
    </w:p>
    <w:p w:rsidR="000459ED" w:rsidRPr="008C7FCC" w:rsidRDefault="000459ED" w:rsidP="00FC3251">
      <w:pPr>
        <w:pStyle w:val="DSEBody"/>
      </w:pPr>
    </w:p>
    <w:p w:rsidR="000459ED" w:rsidRPr="008C7FCC" w:rsidRDefault="002F016A" w:rsidP="000459ED">
      <w:pPr>
        <w:pStyle w:val="DSEBody"/>
      </w:pPr>
      <w:r w:rsidRPr="008C7FCC">
        <w:rPr>
          <w:highlight w:val="yellow"/>
        </w:rPr>
        <w:fldChar w:fldCharType="begin"/>
      </w:r>
      <w:r w:rsidRPr="008C7FCC">
        <w:instrText xml:space="preserve"> REF _Ref352066849 \h </w:instrText>
      </w:r>
      <w:r w:rsidRPr="008C7FCC">
        <w:rPr>
          <w:highlight w:val="yellow"/>
        </w:rPr>
      </w:r>
      <w:r w:rsidRPr="008C7FCC">
        <w:rPr>
          <w:highlight w:val="yellow"/>
        </w:rPr>
        <w:fldChar w:fldCharType="separate"/>
      </w:r>
      <w:r w:rsidR="00577A8F" w:rsidRPr="008C7FCC">
        <w:t xml:space="preserve">Table </w:t>
      </w:r>
      <w:r w:rsidR="00577A8F">
        <w:rPr>
          <w:noProof/>
        </w:rPr>
        <w:t>8</w:t>
      </w:r>
      <w:r w:rsidRPr="008C7FCC">
        <w:rPr>
          <w:highlight w:val="yellow"/>
        </w:rPr>
        <w:fldChar w:fldCharType="end"/>
      </w:r>
      <w:r w:rsidRPr="008C7FCC">
        <w:t xml:space="preserve"> </w:t>
      </w:r>
      <w:r w:rsidR="00094FC3" w:rsidRPr="008C7FCC">
        <w:t>i</w:t>
      </w:r>
      <w:r w:rsidR="00FC3251" w:rsidRPr="008C7FCC">
        <w:t>s another example of an alternative classification scheme based on river systems.   The extent is measured in kilometres of river reach.  The condition is a normalised measure based on the Index of Stream Condition</w:t>
      </w:r>
      <w:r w:rsidR="00FC3251" w:rsidRPr="008C7FCC">
        <w:rPr>
          <w:rStyle w:val="EndnoteReference"/>
        </w:rPr>
        <w:endnoteReference w:id="22"/>
      </w:r>
      <w:r w:rsidR="00FC3251" w:rsidRPr="008C7FCC">
        <w:t xml:space="preserve">.  The table shows the average condition across two time periods - pre-European settlement (1750) and 2004.  It shows how, on average, the condition of rivers in 2004 was 0.44/km compared to 1.0/km pre-European settlement.  It also shows how some river systems are under more stress than others. For instance, the Hopkins river basin has an average condition of 0.27/km compared to the East Gippsland river basin </w:t>
      </w:r>
      <w:r w:rsidR="00A07E3D">
        <w:t>with</w:t>
      </w:r>
      <w:r w:rsidR="00FC3251" w:rsidRPr="008C7FCC">
        <w:t xml:space="preserve"> an average condition of 0.76/km. </w:t>
      </w:r>
    </w:p>
    <w:p w:rsidR="000459ED" w:rsidRPr="008C7FCC" w:rsidRDefault="000459ED" w:rsidP="00653667">
      <w:pPr>
        <w:pStyle w:val="DSECaption"/>
        <w:keepNext/>
      </w:pPr>
      <w:bookmarkStart w:id="39" w:name="_Ref352066849"/>
      <w:bookmarkStart w:id="40" w:name="_Toc352141259"/>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8</w:t>
      </w:r>
      <w:r w:rsidR="002A5794">
        <w:rPr>
          <w:noProof/>
        </w:rPr>
        <w:fldChar w:fldCharType="end"/>
      </w:r>
      <w:bookmarkEnd w:id="39"/>
      <w:r w:rsidRPr="008C7FCC">
        <w:t>. Victorian river reaches length and condition classified by river basin: 1750, 2004</w:t>
      </w:r>
      <w:bookmarkEnd w:id="40"/>
    </w:p>
    <w:p w:rsidR="00FC3251" w:rsidRPr="008C7FCC" w:rsidRDefault="000459ED" w:rsidP="000459ED">
      <w:pPr>
        <w:pStyle w:val="DSEBody"/>
        <w:jc w:val="center"/>
      </w:pPr>
      <w:r w:rsidRPr="008C7FCC">
        <w:rPr>
          <w:noProof/>
          <w:lang w:eastAsia="en-AU"/>
        </w:rPr>
        <w:drawing>
          <wp:inline distT="0" distB="0" distL="0" distR="0" wp14:anchorId="33B20CD2" wp14:editId="50A2A91B">
            <wp:extent cx="2665521" cy="3862426"/>
            <wp:effectExtent l="0" t="0" r="190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5531" cy="3862440"/>
                    </a:xfrm>
                    <a:prstGeom prst="rect">
                      <a:avLst/>
                    </a:prstGeom>
                    <a:noFill/>
                    <a:ln>
                      <a:noFill/>
                    </a:ln>
                  </pic:spPr>
                </pic:pic>
              </a:graphicData>
            </a:graphic>
          </wp:inline>
        </w:drawing>
      </w:r>
    </w:p>
    <w:p w:rsidR="00FC3251" w:rsidRPr="008C7FCC" w:rsidRDefault="00FC3251" w:rsidP="00FC3251">
      <w:pPr>
        <w:pStyle w:val="DSEHB"/>
      </w:pPr>
      <w:bookmarkStart w:id="41" w:name="_Toc352141279"/>
      <w:r w:rsidRPr="008C7FCC">
        <w:t>Asset Flow Accounts</w:t>
      </w:r>
      <w:bookmarkEnd w:id="41"/>
    </w:p>
    <w:p w:rsidR="00FC3251" w:rsidRPr="008C7FCC" w:rsidRDefault="00FC3251" w:rsidP="00FC3251">
      <w:pPr>
        <w:pStyle w:val="DSEBody"/>
      </w:pPr>
      <w:r w:rsidRPr="008C7FCC">
        <w:t xml:space="preserve">The Asset Flow Accounts record the changes in stock of ecosystem assets over a defined period of time.  These accounts provide an insight into the drivers of change in stocks over time.  For instance, they highlight how management of ecosystem assets </w:t>
      </w:r>
      <w:r w:rsidR="00336C83" w:rsidRPr="008C7FCC">
        <w:t>relates</w:t>
      </w:r>
      <w:r w:rsidRPr="008C7FCC">
        <w:t xml:space="preserve"> to changes in the extent and condition of the stocks. </w:t>
      </w:r>
    </w:p>
    <w:p w:rsidR="00FC3251" w:rsidRPr="008C7FCC" w:rsidRDefault="002F016A" w:rsidP="00FC3251">
      <w:pPr>
        <w:pStyle w:val="DSEBody"/>
      </w:pPr>
      <w:r w:rsidRPr="008C7FCC">
        <w:rPr>
          <w:highlight w:val="yellow"/>
        </w:rPr>
        <w:fldChar w:fldCharType="begin"/>
      </w:r>
      <w:r w:rsidRPr="008C7FCC">
        <w:instrText xml:space="preserve"> REF _Ref352066861 \h </w:instrText>
      </w:r>
      <w:r w:rsidRPr="008C7FCC">
        <w:rPr>
          <w:highlight w:val="yellow"/>
        </w:rPr>
      </w:r>
      <w:r w:rsidRPr="008C7FCC">
        <w:rPr>
          <w:highlight w:val="yellow"/>
        </w:rPr>
        <w:fldChar w:fldCharType="separate"/>
      </w:r>
      <w:r w:rsidR="00577A8F" w:rsidRPr="008C7FCC">
        <w:t xml:space="preserve">Table </w:t>
      </w:r>
      <w:r w:rsidR="00577A8F">
        <w:rPr>
          <w:noProof/>
        </w:rPr>
        <w:t>9</w:t>
      </w:r>
      <w:r w:rsidRPr="008C7FCC">
        <w:rPr>
          <w:highlight w:val="yellow"/>
        </w:rPr>
        <w:fldChar w:fldCharType="end"/>
      </w:r>
      <w:r w:rsidRPr="008C7FCC">
        <w:t xml:space="preserve"> </w:t>
      </w:r>
      <w:r w:rsidR="00FC3251" w:rsidRPr="008C7FCC">
        <w:t>shows an example of Asset Flow Accounts for the extent of terrestrial native vegetation.  The table accounts for the changes in the extent of stocks over the 10-year period between 1994 and 2004</w:t>
      </w:r>
      <w:r w:rsidR="00986A02">
        <w:rPr>
          <w:rStyle w:val="EndnoteReference"/>
        </w:rPr>
        <w:endnoteReference w:id="23"/>
      </w:r>
      <w:r w:rsidR="00FC3251" w:rsidRPr="008C7FCC">
        <w:t>.  The rows describe the changes based on the following classification scheme</w:t>
      </w:r>
      <w:r w:rsidRPr="008C7FCC">
        <w:t>:</w:t>
      </w:r>
    </w:p>
    <w:p w:rsidR="00FC3251" w:rsidRPr="003D24B4" w:rsidRDefault="00FC3251" w:rsidP="00CD3626">
      <w:pPr>
        <w:pStyle w:val="DSEBody"/>
        <w:ind w:left="360"/>
      </w:pPr>
      <w:r w:rsidRPr="003D24B4">
        <w:t>Additions</w:t>
      </w:r>
      <w:r w:rsidR="003D24B4">
        <w:t>:</w:t>
      </w:r>
    </w:p>
    <w:p w:rsidR="00FC3251" w:rsidRPr="008C7FCC" w:rsidRDefault="00FC3251" w:rsidP="00CD3626">
      <w:pPr>
        <w:pStyle w:val="DSEBullet"/>
        <w:tabs>
          <w:tab w:val="clear" w:pos="720"/>
          <w:tab w:val="num" w:pos="1080"/>
        </w:tabs>
        <w:ind w:left="1080"/>
      </w:pPr>
      <w:r w:rsidRPr="008C7FCC">
        <w:t>Growth in terrestrial extent</w:t>
      </w:r>
    </w:p>
    <w:p w:rsidR="00FC3251" w:rsidRPr="008C7FCC" w:rsidRDefault="00FC3251" w:rsidP="00CD3626">
      <w:pPr>
        <w:pStyle w:val="DSEBullet2"/>
        <w:ind w:left="1440"/>
      </w:pPr>
      <w:r w:rsidRPr="008C7FCC">
        <w:t>Managed revegetation: land previously classified as non-native vegetation now classified as native vegetation as a result of revegetation with indigenous species.</w:t>
      </w:r>
    </w:p>
    <w:p w:rsidR="00FC3251" w:rsidRPr="008C7FCC" w:rsidRDefault="00FC3251" w:rsidP="00CD3626">
      <w:pPr>
        <w:pStyle w:val="DSEBullet2"/>
        <w:ind w:left="1440"/>
      </w:pPr>
      <w:r w:rsidRPr="008C7FCC">
        <w:t>Unmanaged regeneration: land previously classified as non-native vegetation now classified as native vegetation as a result of regeneration of indigenous species (predominantly passive recovery of no longer utilized farmland).</w:t>
      </w:r>
    </w:p>
    <w:p w:rsidR="00FC3251" w:rsidRPr="008C7FCC" w:rsidRDefault="00FC3251" w:rsidP="00CD3626">
      <w:pPr>
        <w:pStyle w:val="DSEBullet"/>
        <w:ind w:left="1080"/>
      </w:pPr>
      <w:r w:rsidRPr="008C7FCC">
        <w:t>Upward reappraisals: no physical increase in native vegetation extent, but land previously classified as non-native vegetation now classified as native vegetation as a result of new information.</w:t>
      </w:r>
    </w:p>
    <w:p w:rsidR="00FC3251" w:rsidRPr="008C7FCC" w:rsidRDefault="00FC3251" w:rsidP="00CD3626">
      <w:pPr>
        <w:pStyle w:val="DSEBullet"/>
        <w:ind w:left="1080"/>
      </w:pPr>
      <w:r w:rsidRPr="008C7FCC">
        <w:t>Reclassifications: no physical increase in terrestrial vegetation extent, but increase in native vegetation under management by land manager classification.</w:t>
      </w:r>
    </w:p>
    <w:p w:rsidR="00FC3251" w:rsidRPr="003D24B4" w:rsidRDefault="00FC3251" w:rsidP="00CD3626">
      <w:pPr>
        <w:pStyle w:val="DSEBody"/>
        <w:ind w:left="360"/>
      </w:pPr>
      <w:r w:rsidRPr="003D24B4">
        <w:t>Reductions</w:t>
      </w:r>
      <w:r w:rsidR="003D24B4">
        <w:t>:</w:t>
      </w:r>
    </w:p>
    <w:p w:rsidR="00FC3251" w:rsidRPr="008C7FCC" w:rsidRDefault="00FC3251" w:rsidP="00CD3626">
      <w:pPr>
        <w:pStyle w:val="DSEBullet"/>
        <w:ind w:left="1080"/>
      </w:pPr>
      <w:r w:rsidRPr="008C7FCC">
        <w:t>Extractions of terrestrial extent</w:t>
      </w:r>
    </w:p>
    <w:p w:rsidR="00FC3251" w:rsidRPr="008C7FCC" w:rsidRDefault="00FC3251" w:rsidP="00CD3626">
      <w:pPr>
        <w:pStyle w:val="DSEBullet2"/>
        <w:ind w:left="1440"/>
      </w:pPr>
      <w:r w:rsidRPr="008C7FCC">
        <w:t>Vegetation clearing: land previously classified as native vegetation now classified as non-native vegetation as a result of vegetation clearing.</w:t>
      </w:r>
    </w:p>
    <w:p w:rsidR="00FC3251" w:rsidRPr="008C7FCC" w:rsidRDefault="00FC3251" w:rsidP="00CD3626">
      <w:pPr>
        <w:pStyle w:val="DSEBullet"/>
        <w:ind w:left="1080"/>
      </w:pPr>
      <w:r w:rsidRPr="008C7FCC">
        <w:t>Normal loss of stock</w:t>
      </w:r>
    </w:p>
    <w:p w:rsidR="00FC3251" w:rsidRPr="008C7FCC" w:rsidRDefault="00A07E3D" w:rsidP="00CD3626">
      <w:pPr>
        <w:pStyle w:val="DSEBullet2"/>
        <w:ind w:left="1440"/>
      </w:pPr>
      <w:r>
        <w:lastRenderedPageBreak/>
        <w:t>in f</w:t>
      </w:r>
      <w:r w:rsidR="00FC3251" w:rsidRPr="008C7FCC">
        <w:t>ragmented landscapes</w:t>
      </w:r>
    </w:p>
    <w:p w:rsidR="00FC3251" w:rsidRPr="008C7FCC" w:rsidRDefault="00A07E3D" w:rsidP="00CD3626">
      <w:pPr>
        <w:pStyle w:val="DSEBullet2"/>
        <w:ind w:left="1440"/>
      </w:pPr>
      <w:r>
        <w:t>in l</w:t>
      </w:r>
      <w:r w:rsidR="00FC3251" w:rsidRPr="008C7FCC">
        <w:t>argely intact landscapes</w:t>
      </w:r>
    </w:p>
    <w:p w:rsidR="00FC3251" w:rsidRPr="008C7FCC" w:rsidRDefault="00FC3251" w:rsidP="00CD3626">
      <w:pPr>
        <w:pStyle w:val="DSEBullet"/>
        <w:ind w:left="1080"/>
      </w:pPr>
      <w:r w:rsidRPr="008C7FCC">
        <w:t>Catastrophic losses: land previously classified as native vegetation now classified as non-native vegetation as a result of a natural disaster.</w:t>
      </w:r>
    </w:p>
    <w:p w:rsidR="00FC3251" w:rsidRPr="008C7FCC" w:rsidRDefault="00FC3251" w:rsidP="00CD3626">
      <w:pPr>
        <w:pStyle w:val="DSEBullet"/>
        <w:ind w:left="1080"/>
      </w:pPr>
      <w:r w:rsidRPr="008C7FCC">
        <w:t>Downward reappraisals: no physical loss of terrestrial vegetation extent, but land previously classified as native vegetation now classified as non-native vegetation as a result of new information.</w:t>
      </w:r>
    </w:p>
    <w:p w:rsidR="00FC3251" w:rsidRPr="008C7FCC" w:rsidRDefault="00FC3251" w:rsidP="00CD3626">
      <w:pPr>
        <w:pStyle w:val="DSEBullet"/>
        <w:ind w:left="1080"/>
      </w:pPr>
      <w:r w:rsidRPr="008C7FCC">
        <w:t>Reclassifications: no reduction in physical terrestrial vegetation extent, but reduction in native vegetation under management by land manager classification.</w:t>
      </w:r>
    </w:p>
    <w:p w:rsidR="00FC3251" w:rsidRPr="008C7FCC" w:rsidRDefault="00FC3251" w:rsidP="00FC3251">
      <w:pPr>
        <w:pStyle w:val="DSEBody"/>
      </w:pPr>
    </w:p>
    <w:p w:rsidR="007D4012" w:rsidRPr="008C7FCC" w:rsidRDefault="007D4012" w:rsidP="007D4012">
      <w:pPr>
        <w:pStyle w:val="DSECaption"/>
      </w:pPr>
      <w:bookmarkStart w:id="42" w:name="_Ref352066861"/>
      <w:bookmarkStart w:id="43" w:name="_Toc352141260"/>
      <w:r w:rsidRPr="008C7FCC">
        <w:t xml:space="preserve">Table </w:t>
      </w:r>
      <w:r w:rsidR="002A5794">
        <w:fldChar w:fldCharType="begin"/>
      </w:r>
      <w:r w:rsidR="002A5794">
        <w:instrText xml:space="preserve"> SEQ Table \* ARABIC </w:instrText>
      </w:r>
      <w:r w:rsidR="002A5794">
        <w:fldChar w:fldCharType="separate"/>
      </w:r>
      <w:r w:rsidR="00577A8F">
        <w:rPr>
          <w:noProof/>
        </w:rPr>
        <w:t>9</w:t>
      </w:r>
      <w:r w:rsidR="002A5794">
        <w:rPr>
          <w:noProof/>
        </w:rPr>
        <w:fldChar w:fldCharType="end"/>
      </w:r>
      <w:bookmarkEnd w:id="42"/>
      <w:r w:rsidRPr="008C7FCC">
        <w:t xml:space="preserve">. Change in Victorian extent </w:t>
      </w:r>
      <w:r w:rsidR="00E72420" w:rsidRPr="008C7FCC">
        <w:t xml:space="preserve">of terrestrial vegetation </w:t>
      </w:r>
      <w:r w:rsidRPr="008C7FCC">
        <w:t>between 1994 to 2004, disaggregated by land tenure</w:t>
      </w:r>
      <w:bookmarkEnd w:id="43"/>
    </w:p>
    <w:p w:rsidR="00FC3251" w:rsidRPr="008C7FCC" w:rsidRDefault="007D4012" w:rsidP="007D4012">
      <w:pPr>
        <w:pStyle w:val="DSEBody"/>
        <w:jc w:val="center"/>
      </w:pPr>
      <w:r w:rsidRPr="008C7FCC">
        <w:rPr>
          <w:noProof/>
          <w:lang w:eastAsia="en-AU"/>
        </w:rPr>
        <w:drawing>
          <wp:inline distT="0" distB="0" distL="0" distR="0" wp14:anchorId="0B3E6254" wp14:editId="734EEB1B">
            <wp:extent cx="4374489" cy="2543840"/>
            <wp:effectExtent l="0" t="0" r="762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73019" cy="2542985"/>
                    </a:xfrm>
                    <a:prstGeom prst="rect">
                      <a:avLst/>
                    </a:prstGeom>
                    <a:noFill/>
                    <a:ln>
                      <a:noFill/>
                    </a:ln>
                  </pic:spPr>
                </pic:pic>
              </a:graphicData>
            </a:graphic>
          </wp:inline>
        </w:drawing>
      </w:r>
    </w:p>
    <w:p w:rsidR="00F860B2" w:rsidRPr="008C7FCC" w:rsidRDefault="00F860B2" w:rsidP="00FC3251">
      <w:pPr>
        <w:pStyle w:val="DSEBody"/>
      </w:pPr>
    </w:p>
    <w:p w:rsidR="00F860B2" w:rsidRDefault="00FC3251" w:rsidP="00FC3251">
      <w:pPr>
        <w:pStyle w:val="DSEBody"/>
      </w:pPr>
      <w:r w:rsidRPr="008C7FCC">
        <w:t xml:space="preserve">The columns in </w:t>
      </w:r>
      <w:r w:rsidR="00F860B2" w:rsidRPr="008C7FCC">
        <w:rPr>
          <w:highlight w:val="yellow"/>
        </w:rPr>
        <w:fldChar w:fldCharType="begin"/>
      </w:r>
      <w:r w:rsidR="00F860B2" w:rsidRPr="008C7FCC">
        <w:instrText xml:space="preserve"> REF _Ref352066861 \h </w:instrText>
      </w:r>
      <w:r w:rsidR="00F860B2" w:rsidRPr="008C7FCC">
        <w:rPr>
          <w:highlight w:val="yellow"/>
        </w:rPr>
      </w:r>
      <w:r w:rsidR="00F860B2" w:rsidRPr="008C7FCC">
        <w:rPr>
          <w:highlight w:val="yellow"/>
        </w:rPr>
        <w:fldChar w:fldCharType="separate"/>
      </w:r>
      <w:r w:rsidR="00577A8F" w:rsidRPr="008C7FCC">
        <w:t xml:space="preserve">Table </w:t>
      </w:r>
      <w:r w:rsidR="00577A8F">
        <w:rPr>
          <w:noProof/>
        </w:rPr>
        <w:t>9</w:t>
      </w:r>
      <w:r w:rsidR="00F860B2" w:rsidRPr="008C7FCC">
        <w:rPr>
          <w:highlight w:val="yellow"/>
        </w:rPr>
        <w:fldChar w:fldCharType="end"/>
      </w:r>
      <w:r w:rsidR="00F860B2" w:rsidRPr="008C7FCC">
        <w:t xml:space="preserve"> </w:t>
      </w:r>
      <w:r w:rsidRPr="008C7FCC">
        <w:t xml:space="preserve">compare the change in the extent of terrestrial native vegetation on public and private land.  The table shows </w:t>
      </w:r>
      <w:r w:rsidR="005962EB" w:rsidRPr="008C7FCC">
        <w:t>an overall</w:t>
      </w:r>
      <w:r w:rsidRPr="008C7FCC">
        <w:t xml:space="preserve"> increase in extent of 15,885 Ha over the 10-year period between 1994 and 2004.  The increase was attributed to either regeneration or revegetation on private land.  The losses in native vegetation extent are attributed mostly to vegetation clearing</w:t>
      </w:r>
      <w:r w:rsidRPr="008C7FCC">
        <w:rPr>
          <w:rStyle w:val="FootnoteReference"/>
        </w:rPr>
        <w:footnoteReference w:id="1"/>
      </w:r>
      <w:r w:rsidRPr="008C7FCC">
        <w:t xml:space="preserve"> (2,600 Ha).  However, there </w:t>
      </w:r>
      <w:r w:rsidR="005962EB" w:rsidRPr="008C7FCC">
        <w:t>were also changes</w:t>
      </w:r>
      <w:r w:rsidR="00A07E3D">
        <w:t xml:space="preserve"> in tenure</w:t>
      </w:r>
      <w:r w:rsidRPr="008C7FCC">
        <w:t xml:space="preserve"> with 14,270 Ha being reclassified from private to public.  </w:t>
      </w:r>
    </w:p>
    <w:p w:rsidR="00A07E3D" w:rsidRPr="008C7FCC" w:rsidRDefault="00A07E3D" w:rsidP="00FC3251">
      <w:pPr>
        <w:pStyle w:val="DSEBody"/>
      </w:pPr>
    </w:p>
    <w:p w:rsidR="00760877" w:rsidRPr="008C7FCC" w:rsidRDefault="00760877" w:rsidP="00760877">
      <w:pPr>
        <w:pStyle w:val="DSEHB"/>
      </w:pPr>
      <w:bookmarkStart w:id="44" w:name="_Toc352141280"/>
      <w:r w:rsidRPr="008C7FCC">
        <w:t>Physical Flow Accounts</w:t>
      </w:r>
      <w:bookmarkEnd w:id="44"/>
    </w:p>
    <w:p w:rsidR="000465C8" w:rsidRPr="008C7FCC" w:rsidRDefault="00760877" w:rsidP="00760877">
      <w:pPr>
        <w:pStyle w:val="DSEBody"/>
      </w:pPr>
      <w:r w:rsidRPr="008C7FCC">
        <w:t>The SEEA: EEA Physical Flow Accounts provide</w:t>
      </w:r>
      <w:r w:rsidR="000465C8" w:rsidRPr="008C7FCC">
        <w:t xml:space="preserve"> measures of ecosystem services</w:t>
      </w:r>
      <w:r w:rsidRPr="008C7FCC">
        <w:t xml:space="preserve"> flowin</w:t>
      </w:r>
      <w:r w:rsidR="000465C8" w:rsidRPr="008C7FCC">
        <w:t xml:space="preserve">g from a given ecosystem asset – </w:t>
      </w:r>
      <w:r w:rsidRPr="008C7FCC">
        <w:t>the definition of “physical flows” is limited to ecosystem services (provision</w:t>
      </w:r>
      <w:r w:rsidR="00E12515" w:rsidRPr="008C7FCC">
        <w:t xml:space="preserve">ing, regulation and cultural). </w:t>
      </w:r>
      <w:r w:rsidR="000465C8" w:rsidRPr="008C7FCC">
        <w:t xml:space="preserve">The </w:t>
      </w:r>
      <w:r w:rsidR="00342475" w:rsidRPr="008C7FCC">
        <w:t>physical</w:t>
      </w:r>
      <w:r w:rsidR="000465C8" w:rsidRPr="008C7FCC">
        <w:t xml:space="preserve"> flow accounts limit the reporting of </w:t>
      </w:r>
      <w:r w:rsidRPr="008C7FCC">
        <w:t xml:space="preserve">inter-ecosystem flows </w:t>
      </w:r>
      <w:r w:rsidR="000465C8" w:rsidRPr="008C7FCC">
        <w:t xml:space="preserve">to those </w:t>
      </w:r>
      <w:r w:rsidRPr="008C7FCC">
        <w:t xml:space="preserve">that </w:t>
      </w:r>
      <w:r w:rsidR="000465C8" w:rsidRPr="008C7FCC">
        <w:t xml:space="preserve">can be </w:t>
      </w:r>
      <w:r w:rsidRPr="008C7FCC">
        <w:t xml:space="preserve">clearly </w:t>
      </w:r>
      <w:r w:rsidR="000465C8" w:rsidRPr="008C7FCC">
        <w:t xml:space="preserve">attributed as </w:t>
      </w:r>
      <w:r w:rsidR="00C41223" w:rsidRPr="008C7FCC">
        <w:t xml:space="preserve">ecosystem services making </w:t>
      </w:r>
      <w:r w:rsidR="000465C8" w:rsidRPr="008C7FCC">
        <w:t>contributions to benefits used in economic and other human activity</w:t>
      </w:r>
      <w:r w:rsidR="00E12515" w:rsidRPr="008C7FCC">
        <w:t>.</w:t>
      </w:r>
    </w:p>
    <w:p w:rsidR="00760877" w:rsidRPr="008C7FCC" w:rsidRDefault="00BF6CDB" w:rsidP="00760877">
      <w:pPr>
        <w:pStyle w:val="DSEBody"/>
      </w:pPr>
      <w:r w:rsidRPr="008C7FCC">
        <w:t>The</w:t>
      </w:r>
      <w:r w:rsidR="00E12515" w:rsidRPr="008C7FCC">
        <w:t xml:space="preserve"> reporting of inter-ecosystem flows </w:t>
      </w:r>
      <w:r w:rsidRPr="008C7FCC">
        <w:t>when</w:t>
      </w:r>
      <w:r w:rsidR="00E12515" w:rsidRPr="008C7FCC">
        <w:t xml:space="preserve"> attribution is not possible</w:t>
      </w:r>
      <w:r w:rsidRPr="008C7FCC">
        <w:t xml:space="preserve"> currently remains </w:t>
      </w:r>
      <w:r w:rsidR="003E5533" w:rsidRPr="008C7FCC">
        <w:t>an open question</w:t>
      </w:r>
      <w:r w:rsidR="00E12515" w:rsidRPr="008C7FCC">
        <w:t xml:space="preserve">. A reasonable approach would be to account for </w:t>
      </w:r>
      <w:r w:rsidR="00342475" w:rsidRPr="008C7FCC">
        <w:t>all inter-ecos</w:t>
      </w:r>
      <w:r w:rsidR="00E12515" w:rsidRPr="008C7FCC">
        <w:t>y</w:t>
      </w:r>
      <w:r w:rsidR="00342475" w:rsidRPr="008C7FCC">
        <w:t>st</w:t>
      </w:r>
      <w:r w:rsidR="00E12515" w:rsidRPr="008C7FCC">
        <w:t xml:space="preserve">em flows and then identify the subset that can be </w:t>
      </w:r>
      <w:r w:rsidR="002149E7" w:rsidRPr="008C7FCC">
        <w:t xml:space="preserve">attributed </w:t>
      </w:r>
      <w:r w:rsidR="00E12515" w:rsidRPr="008C7FCC">
        <w:t xml:space="preserve">as ecosystem services. </w:t>
      </w:r>
      <w:r w:rsidR="002149E7" w:rsidRPr="008C7FCC">
        <w:t xml:space="preserve">The </w:t>
      </w:r>
      <w:r w:rsidR="00E12515" w:rsidRPr="008C7FCC">
        <w:t>current SEEA: EEA do</w:t>
      </w:r>
      <w:r w:rsidR="002149E7" w:rsidRPr="008C7FCC">
        <w:t>es</w:t>
      </w:r>
      <w:r w:rsidR="00E12515" w:rsidRPr="008C7FCC">
        <w:t xml:space="preserve"> not </w:t>
      </w:r>
      <w:r w:rsidR="00DF69DF" w:rsidRPr="008C7FCC">
        <w:t>pr</w:t>
      </w:r>
      <w:r w:rsidR="00E12515" w:rsidRPr="008C7FCC">
        <w:t>escribe an accounting approach to inter-</w:t>
      </w:r>
      <w:r w:rsidR="00342475" w:rsidRPr="008C7FCC">
        <w:t>ecosystem</w:t>
      </w:r>
      <w:r w:rsidR="00E12515" w:rsidRPr="008C7FCC">
        <w:t xml:space="preserve"> flows. </w:t>
      </w:r>
      <w:r w:rsidR="00760877" w:rsidRPr="008C7FCC">
        <w:t xml:space="preserve">The remainder of this section is an experimental </w:t>
      </w:r>
      <w:r w:rsidR="002149E7" w:rsidRPr="008C7FCC">
        <w:t>approach to estimating and accounting</w:t>
      </w:r>
      <w:r w:rsidR="00760877" w:rsidRPr="008C7FCC">
        <w:t xml:space="preserve"> </w:t>
      </w:r>
      <w:r w:rsidR="002149E7" w:rsidRPr="008C7FCC">
        <w:t xml:space="preserve">for </w:t>
      </w:r>
      <w:r w:rsidR="00760877" w:rsidRPr="008C7FCC">
        <w:t xml:space="preserve">how inter-ecosystem flows contribute to </w:t>
      </w:r>
      <w:r w:rsidR="005835E4" w:rsidRPr="008C7FCC">
        <w:t>benefits used in economic and other human activity</w:t>
      </w:r>
      <w:r w:rsidR="00760877" w:rsidRPr="008C7FCC">
        <w:t xml:space="preserve">.     </w:t>
      </w:r>
    </w:p>
    <w:p w:rsidR="00760877" w:rsidRPr="008C7FCC" w:rsidRDefault="00760877" w:rsidP="00760877">
      <w:pPr>
        <w:pStyle w:val="DSEBody"/>
      </w:pPr>
      <w:r w:rsidRPr="008C7FCC">
        <w:t xml:space="preserve">In order to make a connection between changes in ecosystem stocks and changes in ecosystem services, the volume of inter-ecosystem flows is estimated as a function that combines the condition of an asset and its context in the landscape.  Asset condition represents the intra-ecosystem flows.  The landscape context represents the interdependence between </w:t>
      </w:r>
      <w:r w:rsidRPr="008C7FCC">
        <w:lastRenderedPageBreak/>
        <w:t>an ecosystem asset and other ecosystems.  The volume of ecos</w:t>
      </w:r>
      <w:r w:rsidR="00A07E3D">
        <w:t>ystem services</w:t>
      </w:r>
      <w:r w:rsidRPr="008C7FCC">
        <w:t xml:space="preserve"> on the other hand, is estimated as a function combining the inter-ecosystem flows and the “significance” representing </w:t>
      </w:r>
      <w:r w:rsidR="00E6064C" w:rsidRPr="008C7FCC">
        <w:t xml:space="preserve">an </w:t>
      </w:r>
      <w:r w:rsidR="00342475" w:rsidRPr="008C7FCC">
        <w:t>anthropocentric</w:t>
      </w:r>
      <w:r w:rsidR="00E6064C" w:rsidRPr="008C7FCC">
        <w:t xml:space="preserve"> preference </w:t>
      </w:r>
      <w:r w:rsidR="00342475" w:rsidRPr="008C7FCC">
        <w:t xml:space="preserve">for the </w:t>
      </w:r>
      <w:r w:rsidR="001875A6" w:rsidRPr="008C7FCC">
        <w:t xml:space="preserve">flows. </w:t>
      </w:r>
      <w:r w:rsidRPr="008C7FCC">
        <w:t xml:space="preserve">The result is an index that represents an aggregate estimate of ecosystem services. </w:t>
      </w:r>
    </w:p>
    <w:p w:rsidR="00E62C78" w:rsidRPr="008C7FCC" w:rsidRDefault="00760877" w:rsidP="00760877">
      <w:pPr>
        <w:pStyle w:val="DSEBody"/>
      </w:pPr>
      <w:r w:rsidRPr="008C7FCC">
        <w:t xml:space="preserve">Disaggregating the index into measures of various classes of ecosystem services (i.e. provisioning, regulation and cultural) is not straight-forward.  The “significance” information represents the anthropocentric demand </w:t>
      </w:r>
      <w:r w:rsidR="002149E7" w:rsidRPr="008C7FCC">
        <w:t xml:space="preserve">(preference) </w:t>
      </w:r>
      <w:r w:rsidRPr="008C7FCC">
        <w:t xml:space="preserve">for intra- and inter-ecosystem flows.  For instance, suppose the </w:t>
      </w:r>
      <w:r w:rsidR="002149E7" w:rsidRPr="008C7FCC">
        <w:t xml:space="preserve">significance is </w:t>
      </w:r>
      <w:r w:rsidRPr="008C7FCC">
        <w:t xml:space="preserve">based on models of the distribution of rare or threatened fauna populations in Victoria.  The models can indicate the varying degrees of significance of the habitats provided by terrestrial assets across the landscape.  It can be argued that </w:t>
      </w:r>
      <w:r w:rsidR="002149E7" w:rsidRPr="008C7FCC">
        <w:t xml:space="preserve">significance </w:t>
      </w:r>
      <w:r w:rsidRPr="008C7FCC">
        <w:t>based on such models reflect</w:t>
      </w:r>
      <w:r w:rsidR="002149E7" w:rsidRPr="008C7FCC">
        <w:t>s</w:t>
      </w:r>
      <w:r w:rsidRPr="008C7FCC">
        <w:t xml:space="preserve"> the varying degrees of cultural ecosystem services (e.g. existence, </w:t>
      </w:r>
      <w:r w:rsidR="00A07E3D" w:rsidRPr="008C7FCC">
        <w:t>genetic diversity</w:t>
      </w:r>
      <w:r w:rsidR="00A07E3D">
        <w:t xml:space="preserve"> as insurance for </w:t>
      </w:r>
      <w:r w:rsidRPr="008C7FCC">
        <w:t>future</w:t>
      </w:r>
      <w:r w:rsidR="00A07E3D">
        <w:t xml:space="preserve"> generations</w:t>
      </w:r>
      <w:r w:rsidRPr="008C7FCC">
        <w:t>) that those habitats provide.  However, it is important to recognise that those terrestrial assets may also yield provisioning (e.g. pest control, pollination, wa</w:t>
      </w:r>
      <w:r w:rsidR="00D629EC" w:rsidRPr="008C7FCC">
        <w:t>ter filtration) and regulating</w:t>
      </w:r>
      <w:r w:rsidR="006C14D3" w:rsidRPr="008C7FCC">
        <w:t xml:space="preserve"> (</w:t>
      </w:r>
      <w:r w:rsidRPr="008C7FCC">
        <w:t xml:space="preserve">e.g. wind control, flood control) ecosystem services.  </w:t>
      </w:r>
    </w:p>
    <w:p w:rsidR="004625A0" w:rsidRPr="008C7FCC" w:rsidRDefault="004625A0" w:rsidP="00760877">
      <w:pPr>
        <w:pStyle w:val="DSEBody"/>
      </w:pPr>
    </w:p>
    <w:p w:rsidR="00AB2440" w:rsidRPr="008C7FCC" w:rsidRDefault="00AB2440" w:rsidP="00AB2440">
      <w:pPr>
        <w:pStyle w:val="DSEHC"/>
      </w:pPr>
      <w:r w:rsidRPr="008C7FCC">
        <w:t>Case study: Habitat</w:t>
      </w:r>
    </w:p>
    <w:p w:rsidR="00E00E7C" w:rsidRPr="008C7FCC" w:rsidRDefault="002F016A" w:rsidP="00760877">
      <w:pPr>
        <w:pStyle w:val="DSEBody"/>
      </w:pPr>
      <w:r w:rsidRPr="008C7FCC">
        <w:rPr>
          <w:highlight w:val="yellow"/>
        </w:rPr>
        <w:fldChar w:fldCharType="begin"/>
      </w:r>
      <w:r w:rsidRPr="008C7FCC">
        <w:instrText xml:space="preserve"> REF _Ref352066886 \h </w:instrText>
      </w:r>
      <w:r w:rsidRPr="008C7FCC">
        <w:rPr>
          <w:highlight w:val="yellow"/>
        </w:rPr>
      </w:r>
      <w:r w:rsidRPr="008C7FCC">
        <w:rPr>
          <w:highlight w:val="yellow"/>
        </w:rPr>
        <w:fldChar w:fldCharType="separate"/>
      </w:r>
      <w:r w:rsidR="00577A8F" w:rsidRPr="008C7FCC">
        <w:t xml:space="preserve">Table </w:t>
      </w:r>
      <w:r w:rsidR="00577A8F">
        <w:rPr>
          <w:noProof/>
        </w:rPr>
        <w:t>10</w:t>
      </w:r>
      <w:r w:rsidRPr="008C7FCC">
        <w:rPr>
          <w:highlight w:val="yellow"/>
        </w:rPr>
        <w:fldChar w:fldCharType="end"/>
      </w:r>
      <w:r w:rsidRPr="008C7FCC">
        <w:t xml:space="preserve"> </w:t>
      </w:r>
      <w:r w:rsidR="000E5BD2" w:rsidRPr="008C7FCC">
        <w:t>is a case study</w:t>
      </w:r>
      <w:r w:rsidR="00BE464A" w:rsidRPr="008C7FCC">
        <w:t xml:space="preserve"> on the reporting of</w:t>
      </w:r>
      <w:r w:rsidR="000E5BD2" w:rsidRPr="008C7FCC">
        <w:t xml:space="preserve"> inter-ecosystem flows involving habita</w:t>
      </w:r>
      <w:r w:rsidR="008B0537" w:rsidRPr="008C7FCC">
        <w:t xml:space="preserve">t.  In terrestrial ecosystems, habitat </w:t>
      </w:r>
      <w:r w:rsidR="008E4B34" w:rsidRPr="008C7FCC">
        <w:t>measurements</w:t>
      </w:r>
      <w:r w:rsidR="00073409" w:rsidRPr="008C7FCC">
        <w:t xml:space="preserve"> </w:t>
      </w:r>
      <w:r w:rsidR="00E471CA" w:rsidRPr="008C7FCC">
        <w:t>indicate</w:t>
      </w:r>
      <w:r w:rsidR="008B0537" w:rsidRPr="008C7FCC">
        <w:t xml:space="preserve"> an asset</w:t>
      </w:r>
      <w:r w:rsidR="006915C1" w:rsidRPr="008C7FCC">
        <w:t>’</w:t>
      </w:r>
      <w:r w:rsidR="008B0537" w:rsidRPr="008C7FCC">
        <w:t xml:space="preserve">s </w:t>
      </w:r>
      <w:r w:rsidR="006915C1" w:rsidRPr="008C7FCC">
        <w:t xml:space="preserve">ability to support </w:t>
      </w:r>
      <w:r w:rsidR="00F02A04" w:rsidRPr="008C7FCC">
        <w:t>fauna</w:t>
      </w:r>
      <w:r w:rsidR="000539F2" w:rsidRPr="008C7FCC">
        <w:t>l</w:t>
      </w:r>
      <w:r w:rsidR="00F02A04" w:rsidRPr="008C7FCC">
        <w:t xml:space="preserve"> </w:t>
      </w:r>
      <w:r w:rsidR="006915C1" w:rsidRPr="008C7FCC">
        <w:t xml:space="preserve">populations.  This includes populations that </w:t>
      </w:r>
      <w:r w:rsidR="00D67751" w:rsidRPr="008C7FCC">
        <w:t xml:space="preserve">are </w:t>
      </w:r>
      <w:r w:rsidR="008634EB" w:rsidRPr="008C7FCC">
        <w:t xml:space="preserve">part of </w:t>
      </w:r>
      <w:r w:rsidR="00E00E7C" w:rsidRPr="008C7FCC">
        <w:t xml:space="preserve">the </w:t>
      </w:r>
      <w:r w:rsidR="00D67751" w:rsidRPr="008C7FCC">
        <w:t>ecosystem asset</w:t>
      </w:r>
      <w:r w:rsidR="008634EB" w:rsidRPr="008C7FCC">
        <w:t xml:space="preserve"> (e.g. keystone species)</w:t>
      </w:r>
      <w:r w:rsidR="00D67751" w:rsidRPr="008C7FCC">
        <w:t xml:space="preserve">, as well as populations that are </w:t>
      </w:r>
      <w:r w:rsidR="008634EB" w:rsidRPr="008C7FCC">
        <w:t>considered part of other ecosystem assets.</w:t>
      </w:r>
      <w:r w:rsidR="008B0537" w:rsidRPr="008C7FCC">
        <w:t xml:space="preserve"> H</w:t>
      </w:r>
      <w:r w:rsidR="000E5BD2" w:rsidRPr="008C7FCC">
        <w:t xml:space="preserve">abitat </w:t>
      </w:r>
      <w:r w:rsidR="006A6A6B" w:rsidRPr="008C7FCC">
        <w:t>measurements provide</w:t>
      </w:r>
      <w:r w:rsidR="005973D1" w:rsidRPr="008C7FCC">
        <w:t xml:space="preserve"> a proxy for</w:t>
      </w:r>
      <w:r w:rsidR="002B1CFA" w:rsidRPr="008C7FCC">
        <w:t xml:space="preserve"> </w:t>
      </w:r>
      <w:r w:rsidR="006E2025" w:rsidRPr="008C7FCC">
        <w:t xml:space="preserve">some </w:t>
      </w:r>
      <w:r w:rsidR="002B1CFA" w:rsidRPr="008C7FCC">
        <w:t>inter-ecosystem flows that depend</w:t>
      </w:r>
      <w:r w:rsidR="00A2342B" w:rsidRPr="008C7FCC">
        <w:t xml:space="preserve"> on</w:t>
      </w:r>
      <w:r w:rsidR="00AE044A" w:rsidRPr="008C7FCC">
        <w:t xml:space="preserve"> the condition of an asset and its </w:t>
      </w:r>
      <w:r w:rsidR="00E00E7C" w:rsidRPr="008C7FCC">
        <w:t xml:space="preserve">context in relation to </w:t>
      </w:r>
      <w:r w:rsidR="00012396">
        <w:t xml:space="preserve">other </w:t>
      </w:r>
      <w:r w:rsidR="00E00E7C" w:rsidRPr="008C7FCC">
        <w:t>neighbo</w:t>
      </w:r>
      <w:r w:rsidR="00CD3626">
        <w:t>u</w:t>
      </w:r>
      <w:r w:rsidR="00E00E7C" w:rsidRPr="008C7FCC">
        <w:t>ring</w:t>
      </w:r>
      <w:r w:rsidR="008B0537" w:rsidRPr="008C7FCC">
        <w:t xml:space="preserve"> assets. </w:t>
      </w:r>
      <w:r w:rsidR="00E00E7C" w:rsidRPr="008C7FCC">
        <w:t xml:space="preserve">Context refers to </w:t>
      </w:r>
      <w:r w:rsidR="00D6606E" w:rsidRPr="008C7FCC">
        <w:t>patch size</w:t>
      </w:r>
      <w:r w:rsidR="00E00E7C" w:rsidRPr="008C7FCC">
        <w:t xml:space="preserve">, </w:t>
      </w:r>
      <w:r w:rsidR="00D6606E" w:rsidRPr="008C7FCC">
        <w:t xml:space="preserve">core area </w:t>
      </w:r>
      <w:r w:rsidR="00E00E7C" w:rsidRPr="008C7FCC">
        <w:t xml:space="preserve">and </w:t>
      </w:r>
      <w:r w:rsidR="00125145" w:rsidRPr="008C7FCC">
        <w:t xml:space="preserve">the </w:t>
      </w:r>
      <w:r w:rsidR="00E00E7C" w:rsidRPr="008C7FCC">
        <w:t>structural and functional connectivity of the asset to its neighbo</w:t>
      </w:r>
      <w:r w:rsidR="00CD3626">
        <w:t>u</w:t>
      </w:r>
      <w:r w:rsidR="00E00E7C" w:rsidRPr="008C7FCC">
        <w:t>rs.</w:t>
      </w:r>
    </w:p>
    <w:p w:rsidR="00760877" w:rsidRPr="008C7FCC" w:rsidRDefault="00D6606E" w:rsidP="00760877">
      <w:pPr>
        <w:pStyle w:val="DSEBody"/>
      </w:pPr>
      <w:r w:rsidRPr="008C7FCC">
        <w:t>A</w:t>
      </w:r>
      <w:r w:rsidR="00760877" w:rsidRPr="008C7FCC">
        <w:t xml:space="preserve"> </w:t>
      </w:r>
      <w:r w:rsidR="00907B64" w:rsidRPr="008C7FCC">
        <w:t xml:space="preserve">terrestrial </w:t>
      </w:r>
      <w:r w:rsidR="002311D3" w:rsidRPr="008C7FCC">
        <w:t xml:space="preserve">habitat </w:t>
      </w:r>
      <w:r w:rsidR="0085660C" w:rsidRPr="008C7FCC">
        <w:t>measure</w:t>
      </w:r>
      <w:r w:rsidR="00430CD4" w:rsidRPr="008C7FCC">
        <w:t xml:space="preserve"> known as “habitat hectares” (</w:t>
      </w:r>
      <w:proofErr w:type="spellStart"/>
      <w:r w:rsidR="00430CD4" w:rsidRPr="008C7FCC">
        <w:t>HHa</w:t>
      </w:r>
      <w:proofErr w:type="spellEnd"/>
      <w:r w:rsidR="00430CD4" w:rsidRPr="008C7FCC">
        <w:t>)</w:t>
      </w:r>
      <w:r w:rsidR="00430CD4" w:rsidRPr="008C7FCC">
        <w:rPr>
          <w:rStyle w:val="EndnoteReference"/>
        </w:rPr>
        <w:endnoteReference w:id="24"/>
      </w:r>
      <w:r w:rsidR="00430CD4" w:rsidRPr="008C7FCC">
        <w:t xml:space="preserve"> is used as an indicator of inter-ecosystem flows.  Th</w:t>
      </w:r>
      <w:r w:rsidR="001F57EA" w:rsidRPr="008C7FCC">
        <w:t xml:space="preserve">is </w:t>
      </w:r>
      <w:r w:rsidR="007C2BFF" w:rsidRPr="008C7FCC">
        <w:t xml:space="preserve">measure </w:t>
      </w:r>
      <w:r w:rsidR="00430CD4" w:rsidRPr="008C7FCC">
        <w:t>combine</w:t>
      </w:r>
      <w:r w:rsidR="001F57EA" w:rsidRPr="008C7FCC">
        <w:t>s</w:t>
      </w:r>
      <w:r w:rsidR="00760877" w:rsidRPr="008C7FCC">
        <w:t xml:space="preserve"> the </w:t>
      </w:r>
      <w:r w:rsidR="00782418" w:rsidRPr="008C7FCC">
        <w:t xml:space="preserve">asset’s </w:t>
      </w:r>
      <w:r w:rsidR="00760877" w:rsidRPr="008C7FCC">
        <w:t>extent, condition and landscape context</w:t>
      </w:r>
      <w:r w:rsidR="001F57EA" w:rsidRPr="008C7FCC">
        <w:t>.  The measurements</w:t>
      </w:r>
      <w:r w:rsidR="003A5D8E" w:rsidRPr="008C7FCC">
        <w:t xml:space="preserve"> </w:t>
      </w:r>
      <w:r w:rsidR="001F11C7" w:rsidRPr="008C7FCC">
        <w:t xml:space="preserve">represent </w:t>
      </w:r>
      <w:r w:rsidR="00760877" w:rsidRPr="008C7FCC">
        <w:t xml:space="preserve">the equivalent hectares of habitat </w:t>
      </w:r>
      <w:r w:rsidR="00AD6635" w:rsidRPr="008C7FCC">
        <w:t xml:space="preserve">compared </w:t>
      </w:r>
      <w:r w:rsidR="00760877" w:rsidRPr="008C7FCC">
        <w:t xml:space="preserve">to </w:t>
      </w:r>
      <w:r w:rsidR="00A51450" w:rsidRPr="008C7FCC">
        <w:t>pre-European settlement</w:t>
      </w:r>
      <w:r w:rsidR="00760877" w:rsidRPr="008C7FCC">
        <w:t xml:space="preserve">. Note that the 1750 data represent the benchmark inter-ecosystem flows, where every hectare of terrestrial asset provides a hectare of habitat.  </w:t>
      </w:r>
      <w:r w:rsidR="00526505" w:rsidRPr="008C7FCC">
        <w:t xml:space="preserve">This is indicative of the </w:t>
      </w:r>
      <w:r w:rsidR="0073569F">
        <w:t>relative</w:t>
      </w:r>
      <w:r w:rsidR="0061697B">
        <w:t xml:space="preserve"> </w:t>
      </w:r>
      <w:r w:rsidR="00526505" w:rsidRPr="008C7FCC">
        <w:t xml:space="preserve">volume of inter-ecosystem flows </w:t>
      </w:r>
      <w:r w:rsidR="00A211B4" w:rsidRPr="008C7FCC">
        <w:t>in</w:t>
      </w:r>
      <w:r w:rsidR="00526505" w:rsidRPr="008C7FCC">
        <w:t xml:space="preserve"> pristine ecosystems.  </w:t>
      </w:r>
      <w:r w:rsidR="00760877" w:rsidRPr="008C7FCC">
        <w:t xml:space="preserve">Thus, the extent and inter-ecosystem flows columns </w:t>
      </w:r>
      <w:r w:rsidR="00082D9B">
        <w:t xml:space="preserve">in </w:t>
      </w:r>
      <w:r w:rsidR="00082D9B" w:rsidRPr="008C7FCC">
        <w:rPr>
          <w:highlight w:val="yellow"/>
        </w:rPr>
        <w:fldChar w:fldCharType="begin"/>
      </w:r>
      <w:r w:rsidR="00082D9B" w:rsidRPr="008C7FCC">
        <w:instrText xml:space="preserve"> REF _Ref352066886 \h </w:instrText>
      </w:r>
      <w:r w:rsidR="00082D9B" w:rsidRPr="008C7FCC">
        <w:rPr>
          <w:highlight w:val="yellow"/>
        </w:rPr>
      </w:r>
      <w:r w:rsidR="00082D9B" w:rsidRPr="008C7FCC">
        <w:rPr>
          <w:highlight w:val="yellow"/>
        </w:rPr>
        <w:fldChar w:fldCharType="separate"/>
      </w:r>
      <w:r w:rsidR="00577A8F" w:rsidRPr="008C7FCC">
        <w:t xml:space="preserve">Table </w:t>
      </w:r>
      <w:r w:rsidR="00577A8F">
        <w:rPr>
          <w:noProof/>
        </w:rPr>
        <w:t>10</w:t>
      </w:r>
      <w:r w:rsidR="00082D9B" w:rsidRPr="008C7FCC">
        <w:rPr>
          <w:highlight w:val="yellow"/>
        </w:rPr>
        <w:fldChar w:fldCharType="end"/>
      </w:r>
      <w:r w:rsidR="00082D9B" w:rsidRPr="008C7FCC">
        <w:t xml:space="preserve"> </w:t>
      </w:r>
      <w:r w:rsidR="00760877" w:rsidRPr="008C7FCC">
        <w:t>show identical amounts in 1750.  In 2005, however, most of the entries in the inter-ecosystem flows column show amounts that are well below t</w:t>
      </w:r>
      <w:r w:rsidR="008F7FC1">
        <w:t>he extent</w:t>
      </w:r>
      <w:r w:rsidR="006D001B">
        <w:t>s</w:t>
      </w:r>
      <w:r w:rsidR="00760877" w:rsidRPr="008C7FCC">
        <w:t>.   The difference reflects the decline in both the asset condition and the landscape context (e.g. connectivity) reduc</w:t>
      </w:r>
      <w:r w:rsidR="00E00E7C" w:rsidRPr="008C7FCC">
        <w:t>ing</w:t>
      </w:r>
      <w:r w:rsidR="00760877" w:rsidRPr="008C7FCC">
        <w:t xml:space="preserve"> the inter-ecosystem flows</w:t>
      </w:r>
      <w:r w:rsidR="00E73FD7" w:rsidRPr="008C7FCC">
        <w:t xml:space="preserve"> involving </w:t>
      </w:r>
      <w:r w:rsidR="002B18DB" w:rsidRPr="008C7FCC">
        <w:t xml:space="preserve">terrestrial </w:t>
      </w:r>
      <w:r w:rsidR="00E73FD7" w:rsidRPr="008C7FCC">
        <w:t>habitat</w:t>
      </w:r>
      <w:r w:rsidR="00760877" w:rsidRPr="008C7FCC">
        <w:t>.</w:t>
      </w:r>
    </w:p>
    <w:p w:rsidR="001D3C1A" w:rsidRDefault="00D12EDA" w:rsidP="00760877">
      <w:pPr>
        <w:pStyle w:val="DSEBody"/>
      </w:pPr>
      <w:r>
        <w:fldChar w:fldCharType="begin"/>
      </w:r>
      <w:r>
        <w:instrText xml:space="preserve"> REF _Ref352028156 \h  \* MERGEFORMAT </w:instrText>
      </w:r>
      <w:r>
        <w:fldChar w:fldCharType="separate"/>
      </w:r>
      <w:r w:rsidR="00E84145" w:rsidRPr="00371C2B">
        <w:t xml:space="preserve">Table </w:t>
      </w:r>
      <w:r w:rsidR="00E84145">
        <w:t>11</w:t>
      </w:r>
      <w:r>
        <w:fldChar w:fldCharType="end"/>
      </w:r>
      <w:r>
        <w:t xml:space="preserve"> </w:t>
      </w:r>
      <w:r w:rsidR="00391117" w:rsidRPr="008C7FCC">
        <w:t>is</w:t>
      </w:r>
      <w:r w:rsidR="00760877" w:rsidRPr="008C7FCC">
        <w:t xml:space="preserve"> a</w:t>
      </w:r>
      <w:r w:rsidR="00622F18" w:rsidRPr="008C7FCC">
        <w:t xml:space="preserve"> case study</w:t>
      </w:r>
      <w:r w:rsidR="000B6AB3">
        <w:t xml:space="preserve"> on</w:t>
      </w:r>
      <w:r w:rsidR="00760877" w:rsidRPr="008C7FCC">
        <w:t xml:space="preserve"> how an indexed measure of ecosystem services can be derived from estimates of inter-ecosystem flows.  In this example, </w:t>
      </w:r>
      <w:r w:rsidR="008374A2" w:rsidRPr="008C7FCC">
        <w:t xml:space="preserve">the conservation </w:t>
      </w:r>
      <w:r w:rsidR="008374A2">
        <w:t>significance</w:t>
      </w:r>
      <w:r w:rsidR="008374A2" w:rsidRPr="008C7FCC">
        <w:t xml:space="preserve"> of terrestrial habitat</w:t>
      </w:r>
      <w:r w:rsidR="008374A2">
        <w:t>s</w:t>
      </w:r>
      <w:r w:rsidR="008374A2" w:rsidRPr="008C7FCC">
        <w:t xml:space="preserve"> </w:t>
      </w:r>
      <w:r w:rsidR="008374A2">
        <w:t xml:space="preserve">is used </w:t>
      </w:r>
      <w:r w:rsidR="009807F1">
        <w:t>as a proxy for</w:t>
      </w:r>
      <w:r w:rsidR="008374A2">
        <w:t xml:space="preserve"> </w:t>
      </w:r>
      <w:r w:rsidR="00760877" w:rsidRPr="008C7FCC">
        <w:t xml:space="preserve">the </w:t>
      </w:r>
      <w:r w:rsidR="006E7CD1" w:rsidRPr="008C7FCC">
        <w:t xml:space="preserve">anthropocentric </w:t>
      </w:r>
      <w:r w:rsidR="00760877" w:rsidRPr="008C7FCC">
        <w:t xml:space="preserve">demand for the inter-ecosystem flows.  </w:t>
      </w:r>
      <w:r w:rsidR="008B0046">
        <w:t>That is, i</w:t>
      </w:r>
      <w:r w:rsidR="00B662EA" w:rsidRPr="008C7FCC">
        <w:t>t is assumed that t</w:t>
      </w:r>
      <w:r w:rsidR="00760877" w:rsidRPr="008C7FCC">
        <w:t xml:space="preserve">he conservation </w:t>
      </w:r>
      <w:r w:rsidR="00CA3BEA">
        <w:t>significance</w:t>
      </w:r>
      <w:r w:rsidR="00760877" w:rsidRPr="008C7FCC">
        <w:t xml:space="preserve"> reflects </w:t>
      </w:r>
      <w:r w:rsidR="005A2313">
        <w:t>some</w:t>
      </w:r>
      <w:r w:rsidR="00B02199" w:rsidRPr="008C7FCC">
        <w:t xml:space="preserve"> </w:t>
      </w:r>
      <w:r w:rsidR="004365C8">
        <w:t>valuable</w:t>
      </w:r>
      <w:r w:rsidR="00DB2984">
        <w:t xml:space="preserve"> </w:t>
      </w:r>
      <w:r w:rsidR="00B233A3" w:rsidRPr="008C7FCC">
        <w:t xml:space="preserve">ecosystem </w:t>
      </w:r>
      <w:r w:rsidR="00760877" w:rsidRPr="008C7FCC">
        <w:t xml:space="preserve">services </w:t>
      </w:r>
      <w:r w:rsidR="007557F3">
        <w:t xml:space="preserve">(e.g. cultural) </w:t>
      </w:r>
      <w:r w:rsidR="004A4AA8">
        <w:t>and benefits</w:t>
      </w:r>
      <w:r w:rsidR="005C7EE9">
        <w:t xml:space="preserve"> </w:t>
      </w:r>
      <w:r w:rsidR="005A6683">
        <w:t>that can be</w:t>
      </w:r>
      <w:r w:rsidR="004A4AA8">
        <w:t xml:space="preserve"> </w:t>
      </w:r>
      <w:r w:rsidR="00EF0346">
        <w:t>attributed to</w:t>
      </w:r>
      <w:r w:rsidR="00760877" w:rsidRPr="008C7FCC">
        <w:t xml:space="preserve"> the </w:t>
      </w:r>
      <w:r w:rsidR="003A17F0">
        <w:t>inter-</w:t>
      </w:r>
      <w:r w:rsidR="00E06F41">
        <w:t>ecosystem</w:t>
      </w:r>
      <w:r w:rsidR="007D413B" w:rsidRPr="008C7FCC">
        <w:t xml:space="preserve"> </w:t>
      </w:r>
      <w:r w:rsidR="003A17F0">
        <w:t>flows</w:t>
      </w:r>
      <w:r w:rsidR="00760877" w:rsidRPr="008C7FCC">
        <w:t xml:space="preserve">.  A function that </w:t>
      </w:r>
      <w:r w:rsidR="00647B37">
        <w:t>indexes</w:t>
      </w:r>
      <w:r w:rsidR="00760877" w:rsidRPr="008C7FCC">
        <w:t xml:space="preserve"> the inter-ecosystem flows </w:t>
      </w:r>
      <w:r w:rsidR="00542B77">
        <w:t>in</w:t>
      </w:r>
      <w:r w:rsidR="008672D0">
        <w:t xml:space="preserve"> </w:t>
      </w:r>
      <w:r w:rsidR="00B24621" w:rsidRPr="008C7FCC">
        <w:fldChar w:fldCharType="begin"/>
      </w:r>
      <w:r w:rsidR="00B24621" w:rsidRPr="008C7FCC">
        <w:instrText xml:space="preserve"> REF _Ref352066886 \h </w:instrText>
      </w:r>
      <w:r w:rsidR="00B24621" w:rsidRPr="008C7FCC">
        <w:fldChar w:fldCharType="separate"/>
      </w:r>
      <w:r w:rsidR="00E84145" w:rsidRPr="008C7FCC">
        <w:t xml:space="preserve">Table </w:t>
      </w:r>
      <w:r w:rsidR="00E84145">
        <w:rPr>
          <w:noProof/>
        </w:rPr>
        <w:t>10</w:t>
      </w:r>
      <w:r w:rsidR="00B24621" w:rsidRPr="008C7FCC">
        <w:fldChar w:fldCharType="end"/>
      </w:r>
      <w:r w:rsidR="00B24621" w:rsidRPr="008C7FCC">
        <w:t xml:space="preserve"> </w:t>
      </w:r>
      <w:r w:rsidR="00887173" w:rsidRPr="008C7FCC">
        <w:t xml:space="preserve">according to their conservation </w:t>
      </w:r>
      <w:r w:rsidR="00FE4B1F">
        <w:t>significance</w:t>
      </w:r>
      <w:r w:rsidR="00887173" w:rsidRPr="008C7FCC">
        <w:t xml:space="preserve"> </w:t>
      </w:r>
      <w:r w:rsidR="009A0B61">
        <w:t>leads to</w:t>
      </w:r>
      <w:r w:rsidR="00981564">
        <w:t xml:space="preserve"> th</w:t>
      </w:r>
      <w:r w:rsidR="003E65BB">
        <w:t>e</w:t>
      </w:r>
      <w:r w:rsidR="00760877" w:rsidRPr="008C7FCC">
        <w:t xml:space="preserve"> </w:t>
      </w:r>
      <w:r w:rsidR="00647B37">
        <w:t>relative</w:t>
      </w:r>
      <w:r w:rsidR="00760877" w:rsidRPr="008C7FCC">
        <w:t xml:space="preserve"> measure</w:t>
      </w:r>
      <w:r w:rsidR="00613A49">
        <w:t xml:space="preserve">ments shown in </w:t>
      </w:r>
      <w:r w:rsidR="00613A49">
        <w:fldChar w:fldCharType="begin"/>
      </w:r>
      <w:r w:rsidR="00613A49">
        <w:instrText xml:space="preserve"> REF _Ref352028156 \h  \* MERGEFORMAT </w:instrText>
      </w:r>
      <w:r w:rsidR="00613A49">
        <w:fldChar w:fldCharType="separate"/>
      </w:r>
      <w:r w:rsidR="00E84145" w:rsidRPr="00371C2B">
        <w:t xml:space="preserve">Table </w:t>
      </w:r>
      <w:r w:rsidR="00E84145">
        <w:t>11</w:t>
      </w:r>
      <w:r w:rsidR="00613A49">
        <w:fldChar w:fldCharType="end"/>
      </w:r>
      <w:r w:rsidR="00613A49">
        <w:t>.  These indexed measurements</w:t>
      </w:r>
      <w:r w:rsidR="000263BF">
        <w:t xml:space="preserve"> can be int</w:t>
      </w:r>
      <w:r w:rsidR="006A57B2">
        <w:t>erpreted as</w:t>
      </w:r>
      <w:r w:rsidR="009D1733">
        <w:t xml:space="preserve"> relative</w:t>
      </w:r>
      <w:r w:rsidR="006A57B2">
        <w:t xml:space="preserve"> </w:t>
      </w:r>
      <w:r w:rsidR="009D1733">
        <w:t>indicators</w:t>
      </w:r>
      <w:r w:rsidR="00F071E7">
        <w:t xml:space="preserve"> of</w:t>
      </w:r>
      <w:r w:rsidR="00423B25">
        <w:t xml:space="preserve"> ecosystem services</w:t>
      </w:r>
      <w:r w:rsidR="00965859">
        <w:t>.</w:t>
      </w:r>
      <w:r w:rsidR="00760877" w:rsidRPr="008C7FCC">
        <w:t xml:space="preserve">  </w:t>
      </w:r>
    </w:p>
    <w:p w:rsidR="00760877" w:rsidRPr="008C7FCC" w:rsidRDefault="00760877" w:rsidP="00760877">
      <w:pPr>
        <w:pStyle w:val="DSEBody"/>
      </w:pPr>
      <w:r w:rsidRPr="008C7FCC">
        <w:t xml:space="preserve">Note that </w:t>
      </w:r>
      <w:r w:rsidR="00A05BC3">
        <w:t xml:space="preserve">the </w:t>
      </w:r>
      <w:r w:rsidRPr="008C7FCC">
        <w:t xml:space="preserve">indexed measurements </w:t>
      </w:r>
      <w:r w:rsidR="00D12EDA">
        <w:t xml:space="preserve">in </w:t>
      </w:r>
      <w:r w:rsidR="00D12EDA">
        <w:fldChar w:fldCharType="begin"/>
      </w:r>
      <w:r w:rsidR="00D12EDA">
        <w:instrText xml:space="preserve"> REF _Ref352028156 \h  \* MERGEFORMAT </w:instrText>
      </w:r>
      <w:r w:rsidR="00D12EDA">
        <w:fldChar w:fldCharType="separate"/>
      </w:r>
      <w:r w:rsidR="00577A8F" w:rsidRPr="00371C2B">
        <w:t xml:space="preserve">Table </w:t>
      </w:r>
      <w:r w:rsidR="00577A8F">
        <w:t>11</w:t>
      </w:r>
      <w:r w:rsidR="00D12EDA">
        <w:fldChar w:fldCharType="end"/>
      </w:r>
      <w:r w:rsidR="00D12EDA">
        <w:t xml:space="preserve"> </w:t>
      </w:r>
      <w:r w:rsidRPr="008C7FCC">
        <w:t xml:space="preserve">are meaningful only in terms of their relative magnitudes.  </w:t>
      </w:r>
      <w:r w:rsidR="00655114">
        <w:t xml:space="preserve">For example, although </w:t>
      </w:r>
      <w:r w:rsidR="00655114" w:rsidRPr="008C7FCC">
        <w:rPr>
          <w:highlight w:val="yellow"/>
        </w:rPr>
        <w:fldChar w:fldCharType="begin"/>
      </w:r>
      <w:r w:rsidR="00655114" w:rsidRPr="008C7FCC">
        <w:instrText xml:space="preserve"> REF _Ref352066886 \h </w:instrText>
      </w:r>
      <w:r w:rsidR="00655114" w:rsidRPr="008C7FCC">
        <w:rPr>
          <w:highlight w:val="yellow"/>
        </w:rPr>
      </w:r>
      <w:r w:rsidR="00655114" w:rsidRPr="008C7FCC">
        <w:rPr>
          <w:highlight w:val="yellow"/>
        </w:rPr>
        <w:fldChar w:fldCharType="separate"/>
      </w:r>
      <w:r w:rsidR="00577A8F" w:rsidRPr="008C7FCC">
        <w:t xml:space="preserve">Table </w:t>
      </w:r>
      <w:r w:rsidR="00577A8F">
        <w:rPr>
          <w:noProof/>
        </w:rPr>
        <w:t>10</w:t>
      </w:r>
      <w:r w:rsidR="00655114" w:rsidRPr="008C7FCC">
        <w:rPr>
          <w:highlight w:val="yellow"/>
        </w:rPr>
        <w:fldChar w:fldCharType="end"/>
      </w:r>
      <w:r w:rsidR="00655114">
        <w:t xml:space="preserve">  shows that “Mangroves” and “Naturally bare” assets have similar total extents (approx. 5,000 Ha) and inter-ecosystem flows (approx. 2,500 </w:t>
      </w:r>
      <w:proofErr w:type="spellStart"/>
      <w:r w:rsidR="00655114">
        <w:t>HHa</w:t>
      </w:r>
      <w:proofErr w:type="spellEnd"/>
      <w:r w:rsidR="00655114">
        <w:t>) in 2005,</w:t>
      </w:r>
      <w:r w:rsidR="00814BDF">
        <w:t xml:space="preserve"> however</w:t>
      </w:r>
      <w:r w:rsidR="00321E13">
        <w:t xml:space="preserve"> </w:t>
      </w:r>
      <w:r w:rsidR="00321E13">
        <w:fldChar w:fldCharType="begin"/>
      </w:r>
      <w:r w:rsidR="00321E13">
        <w:instrText xml:space="preserve"> REF _Ref352028156 \h  \* MERGEFORMAT </w:instrText>
      </w:r>
      <w:r w:rsidR="00321E13">
        <w:fldChar w:fldCharType="separate"/>
      </w:r>
      <w:r w:rsidR="00577A8F" w:rsidRPr="00371C2B">
        <w:t xml:space="preserve">Table </w:t>
      </w:r>
      <w:r w:rsidR="00577A8F">
        <w:t>11</w:t>
      </w:r>
      <w:r w:rsidR="00321E13">
        <w:fldChar w:fldCharType="end"/>
      </w:r>
      <w:r w:rsidR="00321E13">
        <w:t xml:space="preserve"> indicates that</w:t>
      </w:r>
      <w:r w:rsidR="00655114">
        <w:t xml:space="preserve"> </w:t>
      </w:r>
      <w:r w:rsidR="005F42DC">
        <w:t>“Mangroves” provide approximately 4 times more ecosystem services</w:t>
      </w:r>
      <w:r w:rsidR="00CA165E">
        <w:t xml:space="preserve"> </w:t>
      </w:r>
      <w:r w:rsidR="00BC6F35">
        <w:t>than “Naturally bare” assets</w:t>
      </w:r>
      <w:r w:rsidR="005F42DC">
        <w:t>.</w:t>
      </w:r>
      <w:r w:rsidR="00814BDF">
        <w:t xml:space="preserve"> The gr</w:t>
      </w:r>
      <w:r w:rsidR="000E74A2">
        <w:t>e</w:t>
      </w:r>
      <w:r w:rsidR="00814BDF">
        <w:t xml:space="preserve">ater value is </w:t>
      </w:r>
      <w:r w:rsidR="000E74A2">
        <w:t>most likely driven by our (</w:t>
      </w:r>
      <w:r w:rsidR="000E74A2" w:rsidRPr="008C7FCC">
        <w:t>anthropocentric</w:t>
      </w:r>
      <w:r w:rsidR="000E74A2">
        <w:t xml:space="preserve">) view that mangrove habitat is more important. </w:t>
      </w:r>
      <w:r w:rsidRPr="008C7FCC">
        <w:t xml:space="preserve">Also note that although the indexed measure of physical flows </w:t>
      </w:r>
      <w:r w:rsidR="00B81AD6">
        <w:t>may be</w:t>
      </w:r>
      <w:r w:rsidR="00E73FD7" w:rsidRPr="008C7FCC">
        <w:t xml:space="preserve"> indicative of</w:t>
      </w:r>
      <w:r w:rsidRPr="008C7FCC">
        <w:t xml:space="preserve"> the </w:t>
      </w:r>
      <w:r w:rsidR="00853FCF">
        <w:t xml:space="preserve">relative </w:t>
      </w:r>
      <w:r w:rsidRPr="008C7FCC">
        <w:t xml:space="preserve">volume of </w:t>
      </w:r>
      <w:r w:rsidR="00853FCF">
        <w:t xml:space="preserve">some </w:t>
      </w:r>
      <w:r w:rsidRPr="008C7FCC">
        <w:t xml:space="preserve">ecosystem services, the table is not an account of ecosystem services as described in SEEA: EEA.  </w:t>
      </w:r>
      <w:r w:rsidR="00D03C40">
        <w:t>Further work is required to produce an</w:t>
      </w:r>
      <w:r w:rsidRPr="008C7FCC">
        <w:t xml:space="preserve"> account of ecosystem services </w:t>
      </w:r>
      <w:r w:rsidR="00D03C40">
        <w:t>where</w:t>
      </w:r>
      <w:r w:rsidRPr="008C7FCC">
        <w:t xml:space="preserve"> the rows </w:t>
      </w:r>
      <w:r w:rsidR="00D03C40">
        <w:t>contain a</w:t>
      </w:r>
      <w:r w:rsidRPr="008C7FCC">
        <w:t xml:space="preserve"> classification of the ecosystem services </w:t>
      </w:r>
      <w:r w:rsidR="00D03C40">
        <w:t>instead of</w:t>
      </w:r>
      <w:r w:rsidRPr="008C7FCC">
        <w:t xml:space="preserve"> </w:t>
      </w:r>
      <w:r w:rsidR="00D03C40">
        <w:t xml:space="preserve">a classification of </w:t>
      </w:r>
      <w:r w:rsidRPr="008C7FCC">
        <w:t>the ecosystem assets.</w:t>
      </w:r>
    </w:p>
    <w:p w:rsidR="007D4012" w:rsidRPr="008C7FCC" w:rsidRDefault="007D4012" w:rsidP="002F56D1">
      <w:pPr>
        <w:pStyle w:val="DSECaption"/>
        <w:keepNext/>
      </w:pPr>
      <w:bookmarkStart w:id="45" w:name="_Ref352066886"/>
      <w:bookmarkStart w:id="46" w:name="_Toc352141261"/>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10</w:t>
      </w:r>
      <w:r w:rsidR="002A5794">
        <w:rPr>
          <w:noProof/>
        </w:rPr>
        <w:fldChar w:fldCharType="end"/>
      </w:r>
      <w:bookmarkEnd w:id="45"/>
      <w:r w:rsidRPr="008C7FCC">
        <w:t>. Victorian terrestrial extent and inter-ecosystem flows classified by Major Vegetation Group (NVIS): 1750, 2005</w:t>
      </w:r>
      <w:bookmarkEnd w:id="46"/>
    </w:p>
    <w:p w:rsidR="007D4012" w:rsidRPr="008C7FCC" w:rsidRDefault="007D4012" w:rsidP="00760877">
      <w:pPr>
        <w:pStyle w:val="DSEBody"/>
      </w:pPr>
      <w:r w:rsidRPr="008C7FCC">
        <w:rPr>
          <w:noProof/>
          <w:lang w:eastAsia="en-AU"/>
        </w:rPr>
        <w:drawing>
          <wp:inline distT="0" distB="0" distL="0" distR="0" wp14:anchorId="359E6CA9" wp14:editId="19BB60FE">
            <wp:extent cx="6120765" cy="5117293"/>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765" cy="5117293"/>
                    </a:xfrm>
                    <a:prstGeom prst="rect">
                      <a:avLst/>
                    </a:prstGeom>
                    <a:noFill/>
                    <a:ln>
                      <a:noFill/>
                    </a:ln>
                  </pic:spPr>
                </pic:pic>
              </a:graphicData>
            </a:graphic>
          </wp:inline>
        </w:drawing>
      </w:r>
    </w:p>
    <w:p w:rsidR="00557A9B" w:rsidRDefault="00557A9B" w:rsidP="00C319DF">
      <w:pPr>
        <w:pStyle w:val="DSEBody"/>
      </w:pPr>
    </w:p>
    <w:p w:rsidR="00371C2B" w:rsidRPr="00371C2B" w:rsidRDefault="00371C2B" w:rsidP="00CD5D73">
      <w:pPr>
        <w:pStyle w:val="DSECaption"/>
        <w:keepNext/>
      </w:pPr>
      <w:bookmarkStart w:id="47" w:name="_Ref352028156"/>
      <w:bookmarkStart w:id="48" w:name="_Toc352141262"/>
      <w:r w:rsidRPr="00371C2B">
        <w:lastRenderedPageBreak/>
        <w:t xml:space="preserve">Table </w:t>
      </w:r>
      <w:r w:rsidR="002A5794">
        <w:fldChar w:fldCharType="begin"/>
      </w:r>
      <w:r w:rsidR="002A5794">
        <w:instrText xml:space="preserve"> SEQ Table \* ARABIC </w:instrText>
      </w:r>
      <w:r w:rsidR="002A5794">
        <w:fldChar w:fldCharType="separate"/>
      </w:r>
      <w:r w:rsidR="00577A8F">
        <w:rPr>
          <w:noProof/>
        </w:rPr>
        <w:t>11</w:t>
      </w:r>
      <w:r w:rsidR="002A5794">
        <w:rPr>
          <w:noProof/>
        </w:rPr>
        <w:fldChar w:fldCharType="end"/>
      </w:r>
      <w:bookmarkEnd w:id="47"/>
      <w:r w:rsidRPr="00371C2B">
        <w:t xml:space="preserve">  Victorian terrestrial extent and indexed measure</w:t>
      </w:r>
      <w:r w:rsidR="005E7747">
        <w:t>ments</w:t>
      </w:r>
      <w:r w:rsidRPr="00371C2B">
        <w:t xml:space="preserve"> indicative of ecosystem services:  2005</w:t>
      </w:r>
      <w:bookmarkEnd w:id="48"/>
    </w:p>
    <w:p w:rsidR="00371C2B" w:rsidRDefault="00793FC3" w:rsidP="00306D11">
      <w:pPr>
        <w:pStyle w:val="DSEBody"/>
        <w:jc w:val="center"/>
      </w:pPr>
      <w:r w:rsidRPr="00793FC3">
        <w:rPr>
          <w:noProof/>
          <w:lang w:eastAsia="en-AU"/>
        </w:rPr>
        <w:drawing>
          <wp:inline distT="0" distB="0" distL="0" distR="0" wp14:anchorId="4484C2B2" wp14:editId="342DF903">
            <wp:extent cx="4341864" cy="54864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42035" cy="5486616"/>
                    </a:xfrm>
                    <a:prstGeom prst="rect">
                      <a:avLst/>
                    </a:prstGeom>
                    <a:noFill/>
                    <a:ln>
                      <a:noFill/>
                    </a:ln>
                  </pic:spPr>
                </pic:pic>
              </a:graphicData>
            </a:graphic>
          </wp:inline>
        </w:drawing>
      </w:r>
    </w:p>
    <w:p w:rsidR="00371C2B" w:rsidRPr="008C7FCC" w:rsidRDefault="00371C2B" w:rsidP="00C319DF">
      <w:pPr>
        <w:pStyle w:val="DSEBody"/>
      </w:pPr>
    </w:p>
    <w:p w:rsidR="008F6C6A" w:rsidRDefault="0095126B" w:rsidP="00C319DF">
      <w:pPr>
        <w:pStyle w:val="DSEBody"/>
      </w:pPr>
      <w:r w:rsidRPr="008C7FCC">
        <w:fldChar w:fldCharType="begin"/>
      </w:r>
      <w:r w:rsidRPr="008C7FCC">
        <w:instrText xml:space="preserve"> REF _Ref352086067 \h </w:instrText>
      </w:r>
      <w:r w:rsidRPr="008C7FCC">
        <w:fldChar w:fldCharType="separate"/>
      </w:r>
      <w:r w:rsidR="00577A8F" w:rsidRPr="008C7FCC">
        <w:t xml:space="preserve">Table </w:t>
      </w:r>
      <w:r w:rsidR="00577A8F">
        <w:rPr>
          <w:noProof/>
        </w:rPr>
        <w:t>12</w:t>
      </w:r>
      <w:r w:rsidRPr="008C7FCC">
        <w:fldChar w:fldCharType="end"/>
      </w:r>
      <w:r w:rsidRPr="008C7FCC">
        <w:t xml:space="preserve"> </w:t>
      </w:r>
      <w:r w:rsidR="00D8129C" w:rsidRPr="008C7FCC">
        <w:t xml:space="preserve">is an example of an account </w:t>
      </w:r>
      <w:r w:rsidR="008F6C6A">
        <w:t>showing the change</w:t>
      </w:r>
      <w:r w:rsidR="00D8129C" w:rsidRPr="008C7FCC">
        <w:t xml:space="preserve"> in inter-ecosystem flows</w:t>
      </w:r>
      <w:r w:rsidR="00BA6247" w:rsidRPr="008C7FCC">
        <w:t xml:space="preserve"> </w:t>
      </w:r>
      <w:r w:rsidR="008F6C6A">
        <w:t>for two periods</w:t>
      </w:r>
      <w:r w:rsidR="00D8129C" w:rsidRPr="008C7FCC">
        <w:t xml:space="preserve">.  </w:t>
      </w:r>
      <w:r w:rsidR="00EB7419">
        <w:t>Like previous tables in this section, this</w:t>
      </w:r>
      <w:r w:rsidR="00225869" w:rsidRPr="008C7FCC">
        <w:t xml:space="preserve"> table uses habitat</w:t>
      </w:r>
      <w:r w:rsidR="00383E83" w:rsidRPr="008C7FCC">
        <w:t xml:space="preserve"> </w:t>
      </w:r>
      <w:r w:rsidR="00BA6247" w:rsidRPr="008C7FCC">
        <w:t xml:space="preserve">hectares as a proxy for inter-ecosystem flows. </w:t>
      </w:r>
      <w:r w:rsidR="008F6C6A">
        <w:t>One habitat hectare is equivalent to one hectare of land in pristine condition.</w:t>
      </w:r>
      <w:r w:rsidR="00BA6247" w:rsidRPr="008C7FCC">
        <w:t xml:space="preserve"> The table</w:t>
      </w:r>
      <w:r w:rsidR="00383E83" w:rsidRPr="008C7FCC">
        <w:t xml:space="preserve"> </w:t>
      </w:r>
      <w:r w:rsidR="00BA6247" w:rsidRPr="008C7FCC">
        <w:t>shows</w:t>
      </w:r>
      <w:r w:rsidR="00C319DF" w:rsidRPr="008C7FCC">
        <w:t xml:space="preserve"> the change</w:t>
      </w:r>
      <w:r w:rsidR="00BA6247" w:rsidRPr="008C7FCC">
        <w:t>s</w:t>
      </w:r>
      <w:r w:rsidR="00C319DF" w:rsidRPr="008C7FCC">
        <w:t xml:space="preserve"> in </w:t>
      </w:r>
      <w:r w:rsidR="00BA6247" w:rsidRPr="008C7FCC">
        <w:t>habitat hectares</w:t>
      </w:r>
      <w:r w:rsidR="00C319DF" w:rsidRPr="008C7FCC">
        <w:t xml:space="preserve"> on public and private land </w:t>
      </w:r>
      <w:r w:rsidR="00D22360" w:rsidRPr="008C7FCC">
        <w:t xml:space="preserve">in the period between </w:t>
      </w:r>
      <w:r w:rsidR="00C319DF" w:rsidRPr="008C7FCC">
        <w:t xml:space="preserve">1994 </w:t>
      </w:r>
      <w:r w:rsidR="00D22360" w:rsidRPr="008C7FCC">
        <w:t>and</w:t>
      </w:r>
      <w:r w:rsidR="00C319DF" w:rsidRPr="008C7FCC">
        <w:t xml:space="preserve"> 2004</w:t>
      </w:r>
      <w:r w:rsidR="00986A02">
        <w:rPr>
          <w:rStyle w:val="EndnoteReference"/>
        </w:rPr>
        <w:endnoteReference w:id="25"/>
      </w:r>
      <w:r w:rsidR="00EE5F17" w:rsidRPr="008C7FCC">
        <w:t>.  The rows provide a classification of the causes of change</w:t>
      </w:r>
      <w:r w:rsidR="00C319DF" w:rsidRPr="008C7FCC">
        <w:t xml:space="preserve">.  </w:t>
      </w:r>
      <w:r w:rsidRPr="008C7FCC">
        <w:t>For example, t</w:t>
      </w:r>
      <w:r w:rsidR="00C319DF" w:rsidRPr="008C7FCC">
        <w:t xml:space="preserve">here was an overall loss of 54,200 </w:t>
      </w:r>
      <w:r w:rsidR="0049500B" w:rsidRPr="008C7FCC">
        <w:t>habitat hectares</w:t>
      </w:r>
      <w:r w:rsidR="00C319DF" w:rsidRPr="008C7FCC">
        <w:t xml:space="preserve"> over the ten year period</w:t>
      </w:r>
      <w:r w:rsidR="008F6C6A">
        <w:t xml:space="preserve">. </w:t>
      </w:r>
      <w:r w:rsidR="0049500B" w:rsidRPr="008C7FCC">
        <w:t xml:space="preserve"> </w:t>
      </w:r>
      <w:r w:rsidR="008F6C6A">
        <w:t xml:space="preserve">This is equivalent to a loss of </w:t>
      </w:r>
      <w:r w:rsidR="008F6C6A" w:rsidRPr="008C7FCC">
        <w:t>54,200 hectares of pristine ecosystems.</w:t>
      </w:r>
      <w:r w:rsidR="008F6C6A">
        <w:t xml:space="preserve"> </w:t>
      </w:r>
    </w:p>
    <w:p w:rsidR="00C319DF" w:rsidRPr="008C7FCC" w:rsidRDefault="00C319DF" w:rsidP="00C319DF">
      <w:pPr>
        <w:pStyle w:val="DSEBody"/>
      </w:pPr>
      <w:r w:rsidRPr="008C7FCC">
        <w:t>The majority of increases in inter-ecosystem flows occurred on public land due to remnant management. The majority of losses in inter-ecosystem flows were on private land due to natural degra</w:t>
      </w:r>
      <w:r w:rsidR="0095126B" w:rsidRPr="008C7FCC">
        <w:t>dation in fragmented landscapes</w:t>
      </w:r>
      <w:r w:rsidRPr="008C7FCC">
        <w:t>. There were also some losses as a result o</w:t>
      </w:r>
      <w:r w:rsidR="00A55213" w:rsidRPr="008C7FCC">
        <w:t>f vegetation clearing (1,752 habitat hectares</w:t>
      </w:r>
      <w:r w:rsidRPr="008C7FCC">
        <w:t>), but these were more than offset by ga</w:t>
      </w:r>
      <w:r w:rsidR="00A55213" w:rsidRPr="008C7FCC">
        <w:t>ins from revegetation (2,932 habitat hectares</w:t>
      </w:r>
      <w:r w:rsidRPr="008C7FCC">
        <w:t xml:space="preserve">). There was </w:t>
      </w:r>
      <w:r w:rsidR="00E84145">
        <w:t xml:space="preserve">also </w:t>
      </w:r>
      <w:r w:rsidRPr="008C7FCC">
        <w:t>a change in management of terrestrial ve</w:t>
      </w:r>
      <w:r w:rsidR="00A55213" w:rsidRPr="008C7FCC">
        <w:t xml:space="preserve">getation over the time period, </w:t>
      </w:r>
      <w:r w:rsidRPr="008C7FCC">
        <w:t>with some land reclassified from private to public land.</w:t>
      </w:r>
    </w:p>
    <w:p w:rsidR="007D4012" w:rsidRPr="008C7FCC" w:rsidRDefault="007D4012" w:rsidP="00757FBF">
      <w:pPr>
        <w:pStyle w:val="DSECaption"/>
        <w:keepNext/>
      </w:pPr>
      <w:bookmarkStart w:id="49" w:name="_Ref352086067"/>
      <w:bookmarkStart w:id="50" w:name="_Toc352141263"/>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12</w:t>
      </w:r>
      <w:r w:rsidR="002A5794">
        <w:rPr>
          <w:noProof/>
        </w:rPr>
        <w:fldChar w:fldCharType="end"/>
      </w:r>
      <w:bookmarkEnd w:id="49"/>
      <w:r w:rsidRPr="008C7FCC">
        <w:t>. Change in Victorian terrestrial inter-ecosystem flows between 1994 to 2004</w:t>
      </w:r>
      <w:bookmarkEnd w:id="50"/>
    </w:p>
    <w:p w:rsidR="007D4012" w:rsidRPr="008C7FCC" w:rsidRDefault="007D4012" w:rsidP="009B1805">
      <w:pPr>
        <w:pStyle w:val="DSEBody"/>
        <w:jc w:val="center"/>
      </w:pPr>
      <w:r w:rsidRPr="008C7FCC">
        <w:rPr>
          <w:noProof/>
          <w:lang w:eastAsia="en-AU"/>
        </w:rPr>
        <w:drawing>
          <wp:inline distT="0" distB="0" distL="0" distR="0" wp14:anchorId="62B6B377" wp14:editId="160FD218">
            <wp:extent cx="4601260" cy="293422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99714" cy="2933243"/>
                    </a:xfrm>
                    <a:prstGeom prst="rect">
                      <a:avLst/>
                    </a:prstGeom>
                    <a:noFill/>
                    <a:ln>
                      <a:noFill/>
                    </a:ln>
                  </pic:spPr>
                </pic:pic>
              </a:graphicData>
            </a:graphic>
          </wp:inline>
        </w:drawing>
      </w:r>
    </w:p>
    <w:p w:rsidR="00D0695E" w:rsidRPr="008C7FCC" w:rsidRDefault="00D0695E" w:rsidP="00760877">
      <w:pPr>
        <w:pStyle w:val="DSEHB"/>
      </w:pPr>
    </w:p>
    <w:p w:rsidR="00760877" w:rsidRPr="008C7FCC" w:rsidRDefault="00760877" w:rsidP="00760877">
      <w:pPr>
        <w:pStyle w:val="DSEHB"/>
      </w:pPr>
      <w:bookmarkStart w:id="51" w:name="_Toc352141281"/>
      <w:r w:rsidRPr="008C7FCC">
        <w:t>Environmental Payment Accounts</w:t>
      </w:r>
      <w:bookmarkEnd w:id="51"/>
    </w:p>
    <w:p w:rsidR="00760877" w:rsidRPr="008C7FCC" w:rsidRDefault="00760877" w:rsidP="00760877">
      <w:pPr>
        <w:pStyle w:val="DSEBody"/>
      </w:pPr>
      <w:r w:rsidRPr="008C7FCC">
        <w:t>The Environmental Protection Expenditure Accounts in the SEEA: CF, and the SEEA: EEA provide the combined information necessary to analyse the cost-effectiveness of expenditures on h</w:t>
      </w:r>
      <w:r w:rsidR="00A07E3D">
        <w:t>abitat and species conservation</w:t>
      </w:r>
      <w:r w:rsidRPr="008C7FCC">
        <w:t xml:space="preserve"> and the returns on investment at both national and regional scales.  A significant area of interest is the link between physical measures of ecosystem</w:t>
      </w:r>
      <w:r w:rsidR="00A07E3D">
        <w:t>s assets and ecosystem services</w:t>
      </w:r>
      <w:r w:rsidRPr="008C7FCC">
        <w:t xml:space="preserve"> and standard economic transactions that are considered related to the environment.  All of the definitions and treatments for these transactions as outlined in the SEEA: CF apply equivalently in SEEA: EEA.</w:t>
      </w:r>
    </w:p>
    <w:p w:rsidR="00760877" w:rsidRPr="008C7FCC" w:rsidRDefault="00760877" w:rsidP="00760877">
      <w:pPr>
        <w:pStyle w:val="DSEBody"/>
      </w:pPr>
      <w:r w:rsidRPr="008C7FCC">
        <w:t>Payments by government are recorded in a number of places in the national accounts and government finance statistics. The treatment largely depends on how the payments relate to production and consumption and whether they are considered to be current or capital in nature. The SEEA: CF provides a classification of environmental activities within the structure of the Classification of Environmental Activities (CEA).  The CEA is a functional classification used to classify environmental act</w:t>
      </w:r>
      <w:r w:rsidR="00A07E3D">
        <w:t>ivities, environmental products</w:t>
      </w:r>
      <w:r w:rsidRPr="008C7FCC">
        <w:t xml:space="preserve"> and environmental expenditures and other transactions. It covers two types of environmental activities</w:t>
      </w:r>
      <w:r w:rsidR="00A07E3D">
        <w:t xml:space="preserve">: </w:t>
      </w:r>
      <w:r w:rsidRPr="008C7FCC">
        <w:t>environmental protection and resource management</w:t>
      </w:r>
      <w:r w:rsidRPr="008C7FCC">
        <w:rPr>
          <w:rStyle w:val="EndnoteReference"/>
        </w:rPr>
        <w:endnoteReference w:id="26"/>
      </w:r>
      <w:r w:rsidRPr="008C7FCC">
        <w:t xml:space="preserve">. </w:t>
      </w:r>
      <w:r w:rsidR="007819FD" w:rsidRPr="008C7FCC">
        <w:t>There are 9 classes w</w:t>
      </w:r>
      <w:r w:rsidRPr="008C7FCC">
        <w:t xml:space="preserve">ithin the CEA environmental protection activities: </w:t>
      </w:r>
    </w:p>
    <w:p w:rsidR="00760877" w:rsidRPr="008C7FCC" w:rsidRDefault="00760877" w:rsidP="00760877">
      <w:pPr>
        <w:pStyle w:val="DSEListNum"/>
      </w:pPr>
      <w:r w:rsidRPr="008C7FCC">
        <w:t>Protection of ambient air and climate</w:t>
      </w:r>
    </w:p>
    <w:p w:rsidR="00760877" w:rsidRPr="008C7FCC" w:rsidRDefault="00760877" w:rsidP="00760877">
      <w:pPr>
        <w:pStyle w:val="DSEListNum"/>
      </w:pPr>
      <w:r w:rsidRPr="008C7FCC">
        <w:t>Wastewater management</w:t>
      </w:r>
    </w:p>
    <w:p w:rsidR="00760877" w:rsidRPr="008C7FCC" w:rsidRDefault="00760877" w:rsidP="00760877">
      <w:pPr>
        <w:pStyle w:val="DSEListNum"/>
      </w:pPr>
      <w:r w:rsidRPr="008C7FCC">
        <w:t>Waste management</w:t>
      </w:r>
    </w:p>
    <w:p w:rsidR="00760877" w:rsidRPr="008C7FCC" w:rsidRDefault="00760877" w:rsidP="00760877">
      <w:pPr>
        <w:pStyle w:val="DSEListNum"/>
      </w:pPr>
      <w:r w:rsidRPr="008C7FCC">
        <w:t>Protection and remediation of soil, groundwater and surface water</w:t>
      </w:r>
    </w:p>
    <w:p w:rsidR="00760877" w:rsidRPr="008C7FCC" w:rsidRDefault="00760877" w:rsidP="00760877">
      <w:pPr>
        <w:pStyle w:val="DSEListNum"/>
      </w:pPr>
      <w:r w:rsidRPr="008C7FCC">
        <w:t>Noise and vibration abatement (excluding workplace protection)</w:t>
      </w:r>
    </w:p>
    <w:p w:rsidR="00760877" w:rsidRPr="008C7FCC" w:rsidRDefault="00760877" w:rsidP="00760877">
      <w:pPr>
        <w:pStyle w:val="DSEListNum"/>
      </w:pPr>
      <w:r w:rsidRPr="008C7FCC">
        <w:t>Protection of biodiversity and landscapes</w:t>
      </w:r>
    </w:p>
    <w:p w:rsidR="00760877" w:rsidRPr="008C7FCC" w:rsidRDefault="00760877" w:rsidP="00760877">
      <w:pPr>
        <w:pStyle w:val="DSEListNum"/>
      </w:pPr>
      <w:r w:rsidRPr="008C7FCC">
        <w:t>Protection against radiation (excluding external safety)</w:t>
      </w:r>
    </w:p>
    <w:p w:rsidR="00760877" w:rsidRPr="008C7FCC" w:rsidRDefault="00760877" w:rsidP="00760877">
      <w:pPr>
        <w:pStyle w:val="DSEListNum"/>
      </w:pPr>
      <w:r w:rsidRPr="008C7FCC">
        <w:t>Research and development for environmental protection</w:t>
      </w:r>
    </w:p>
    <w:p w:rsidR="00760877" w:rsidRPr="008C7FCC" w:rsidRDefault="00760877" w:rsidP="00760877">
      <w:pPr>
        <w:pStyle w:val="DSEListNum"/>
      </w:pPr>
      <w:r w:rsidRPr="008C7FCC">
        <w:t>Other environmental protection activities</w:t>
      </w:r>
    </w:p>
    <w:p w:rsidR="00760877" w:rsidRPr="008C7FCC" w:rsidRDefault="00760877" w:rsidP="00760877">
      <w:pPr>
        <w:pStyle w:val="DSEBody"/>
      </w:pPr>
      <w:r w:rsidRPr="008C7FCC">
        <w:t>The classes most relevan</w:t>
      </w:r>
      <w:r w:rsidR="00BC7DBF">
        <w:t>t</w:t>
      </w:r>
      <w:r w:rsidRPr="008C7FCC">
        <w:t xml:space="preserve"> to the work undertaken</w:t>
      </w:r>
      <w:r w:rsidR="00BC7DBF">
        <w:t xml:space="preserve"> by the DSE</w:t>
      </w:r>
      <w:r w:rsidRPr="008C7FCC">
        <w:t xml:space="preserve"> in environmental markets are 4, 6 and 9 (</w:t>
      </w:r>
      <w:r w:rsidR="00BC7DBF">
        <w:t>the Victorian government</w:t>
      </w:r>
      <w:r w:rsidRPr="008C7FCC">
        <w:t xml:space="preserve"> undertake work other classes but </w:t>
      </w:r>
      <w:r w:rsidR="00BC7DBF">
        <w:t xml:space="preserve">these </w:t>
      </w:r>
      <w:r w:rsidRPr="008C7FCC">
        <w:t xml:space="preserve">are not discussed in this paper). Further, within functional accounts there is a need to determine whether the expenditure is considered current or capital in nature. In general, current </w:t>
      </w:r>
      <w:r w:rsidRPr="008C7FCC">
        <w:lastRenderedPageBreak/>
        <w:t>expenditure focuses on the maintenance of an asset and capital expenditure of the improvement of an asset</w:t>
      </w:r>
      <w:r w:rsidR="00BC7DBF">
        <w:t>;</w:t>
      </w:r>
      <w:r w:rsidRPr="008C7FCC">
        <w:t xml:space="preserve"> the latter results in a long term net increase in services. </w:t>
      </w:r>
    </w:p>
    <w:p w:rsidR="00760877" w:rsidRPr="008C7FCC" w:rsidRDefault="00760877" w:rsidP="00760877">
      <w:pPr>
        <w:pStyle w:val="DSEHC"/>
      </w:pPr>
      <w:r w:rsidRPr="008C7FCC">
        <w:t xml:space="preserve">Environmental payments in Victoria </w:t>
      </w:r>
    </w:p>
    <w:p w:rsidR="00760877" w:rsidRPr="008C7FCC" w:rsidRDefault="00760877" w:rsidP="00760877">
      <w:pPr>
        <w:pStyle w:val="DSEBody"/>
      </w:pPr>
      <w:r w:rsidRPr="008C7FCC">
        <w:t xml:space="preserve">An important aspect of the Victorian approach to ecosystem accounting is the inclusion of information on payments for both current and capital expenditure in natural resource management. The aim of the expenditure is to maintain currently threatened assets and halt their decline over time and to increase the capital value of the asset so it produces more ecosystem services in the future. At this stage it is not possible to disaggregate the payments into current and capital expenditure. </w:t>
      </w:r>
    </w:p>
    <w:p w:rsidR="00760877" w:rsidRPr="008C7FCC" w:rsidRDefault="00760877" w:rsidP="00760877">
      <w:pPr>
        <w:pStyle w:val="DSEBody"/>
      </w:pPr>
      <w:r w:rsidRPr="008C7FCC">
        <w:t>The DSE has been designing and implementing environmental markets for over a decade with a focus on payments for ecosystem services using competitive allocation methods, specifically auctions for conservation contracts</w:t>
      </w:r>
      <w:r w:rsidRPr="008C7FCC">
        <w:rPr>
          <w:rStyle w:val="EndnoteReference"/>
        </w:rPr>
        <w:endnoteReference w:id="27"/>
      </w:r>
      <w:r w:rsidR="00407524" w:rsidRPr="008C7FCC">
        <w:rPr>
          <w:rStyle w:val="EndnoteReference"/>
        </w:rPr>
        <w:endnoteReference w:id="28"/>
      </w:r>
      <w:r w:rsidRPr="008C7FCC">
        <w:t>. For example, the Victorian ecoMarkets program invests in actions (e.g. building a fence</w:t>
      </w:r>
      <w:r w:rsidR="00BC7DBF">
        <w:t xml:space="preserve"> to exclude stock</w:t>
      </w:r>
      <w:r w:rsidRPr="008C7FCC">
        <w:t>) that result in the protection of ecosystem assets and the generation of ecosystem services (e.g. clean water, improvement in catchment condition and habitat).</w:t>
      </w:r>
    </w:p>
    <w:p w:rsidR="00760877" w:rsidRPr="008C7FCC" w:rsidRDefault="00760877" w:rsidP="00760877">
      <w:pPr>
        <w:pStyle w:val="DSEBody"/>
      </w:pPr>
      <w:r w:rsidRPr="008C7FCC">
        <w:t>The following tables are based on an environmental tender valued at $2.4m (‘EcoTender’) that took place in the West Gippsland region, Victoria, Australia</w:t>
      </w:r>
      <w:r w:rsidR="00BC7DBF">
        <w:rPr>
          <w:rStyle w:val="EndnoteReference"/>
        </w:rPr>
        <w:endnoteReference w:id="29"/>
      </w:r>
      <w:r w:rsidRPr="008C7FCC">
        <w:t xml:space="preserve">. The results are limited to reporting the </w:t>
      </w:r>
      <w:r w:rsidR="00463829" w:rsidRPr="008C7FCC">
        <w:t>impacts</w:t>
      </w:r>
      <w:r w:rsidRPr="008C7FCC">
        <w:t xml:space="preserve"> of the tender and </w:t>
      </w:r>
      <w:proofErr w:type="spellStart"/>
      <w:r w:rsidRPr="008C7FCC">
        <w:t>no</w:t>
      </w:r>
      <w:r w:rsidR="00BC7DBF">
        <w:t>t</w:t>
      </w:r>
      <w:proofErr w:type="spellEnd"/>
      <w:r w:rsidRPr="008C7FCC">
        <w:t xml:space="preserve"> other changes in stocks or services.</w:t>
      </w:r>
    </w:p>
    <w:p w:rsidR="00760877" w:rsidRDefault="00760877" w:rsidP="00760877">
      <w:pPr>
        <w:pStyle w:val="DSEBody"/>
      </w:pPr>
      <w:r w:rsidRPr="008C7FCC">
        <w:t xml:space="preserve">The account presented in </w:t>
      </w:r>
      <w:r w:rsidR="002F016A" w:rsidRPr="008C7FCC">
        <w:rPr>
          <w:highlight w:val="yellow"/>
        </w:rPr>
        <w:fldChar w:fldCharType="begin"/>
      </w:r>
      <w:r w:rsidR="002F016A" w:rsidRPr="008C7FCC">
        <w:instrText xml:space="preserve"> REF _Ref352066992 \h </w:instrText>
      </w:r>
      <w:r w:rsidR="002F016A" w:rsidRPr="008C7FCC">
        <w:rPr>
          <w:highlight w:val="yellow"/>
        </w:rPr>
      </w:r>
      <w:r w:rsidR="002F016A" w:rsidRPr="008C7FCC">
        <w:rPr>
          <w:highlight w:val="yellow"/>
        </w:rPr>
        <w:fldChar w:fldCharType="separate"/>
      </w:r>
      <w:r w:rsidR="00577A8F" w:rsidRPr="008C7FCC">
        <w:t xml:space="preserve">Table </w:t>
      </w:r>
      <w:r w:rsidR="00577A8F">
        <w:rPr>
          <w:noProof/>
        </w:rPr>
        <w:t>13</w:t>
      </w:r>
      <w:r w:rsidR="002F016A" w:rsidRPr="008C7FCC">
        <w:rPr>
          <w:highlight w:val="yellow"/>
        </w:rPr>
        <w:fldChar w:fldCharType="end"/>
      </w:r>
      <w:r w:rsidR="002F016A" w:rsidRPr="008C7FCC">
        <w:t xml:space="preserve"> </w:t>
      </w:r>
      <w:r w:rsidRPr="008C7FCC">
        <w:t>classifies the land according to land use and area. It shows 1,263 ha of agricultural land was reclassified from “Agriculture” to “Land used for maintenance and restoration of environmental functions” as a result of the landholders entering into environmental management contracts in the tender.</w:t>
      </w:r>
    </w:p>
    <w:p w:rsidR="00D5785F" w:rsidRPr="008C7FCC" w:rsidRDefault="00D5785F" w:rsidP="00760877">
      <w:pPr>
        <w:pStyle w:val="DSEBody"/>
      </w:pPr>
    </w:p>
    <w:p w:rsidR="007D4012" w:rsidRPr="008C7FCC" w:rsidRDefault="007D4012" w:rsidP="002F56D1">
      <w:pPr>
        <w:pStyle w:val="DSECaption"/>
        <w:keepNext/>
      </w:pPr>
      <w:bookmarkStart w:id="52" w:name="_Ref352066992"/>
      <w:bookmarkStart w:id="53" w:name="_Toc352141264"/>
      <w:r w:rsidRPr="008C7FCC">
        <w:t xml:space="preserve">Table </w:t>
      </w:r>
      <w:r w:rsidR="002A5794">
        <w:fldChar w:fldCharType="begin"/>
      </w:r>
      <w:r w:rsidR="002A5794">
        <w:instrText xml:space="preserve"> SEQ Table \* ARABIC </w:instrText>
      </w:r>
      <w:r w:rsidR="002A5794">
        <w:fldChar w:fldCharType="separate"/>
      </w:r>
      <w:r w:rsidR="00577A8F">
        <w:rPr>
          <w:noProof/>
        </w:rPr>
        <w:t>13</w:t>
      </w:r>
      <w:r w:rsidR="002A5794">
        <w:rPr>
          <w:noProof/>
        </w:rPr>
        <w:fldChar w:fldCharType="end"/>
      </w:r>
      <w:bookmarkEnd w:id="52"/>
      <w:r w:rsidRPr="008C7FCC">
        <w:t xml:space="preserve">. Land Asset </w:t>
      </w:r>
      <w:r w:rsidR="005962EB" w:rsidRPr="008C7FCC">
        <w:t xml:space="preserve">Flow </w:t>
      </w:r>
      <w:r w:rsidR="002F016A" w:rsidRPr="008C7FCC">
        <w:t>A</w:t>
      </w:r>
      <w:r w:rsidRPr="008C7FCC">
        <w:t xml:space="preserve">ccount, </w:t>
      </w:r>
      <w:r w:rsidR="005962EB" w:rsidRPr="008C7FCC">
        <w:t xml:space="preserve">disaggregated </w:t>
      </w:r>
      <w:r w:rsidRPr="008C7FCC">
        <w:t>by land use</w:t>
      </w:r>
      <w:bookmarkEnd w:id="53"/>
    </w:p>
    <w:p w:rsidR="007D4012" w:rsidRPr="008C7FCC" w:rsidRDefault="007D4012" w:rsidP="00760877">
      <w:pPr>
        <w:pStyle w:val="DSEBody"/>
      </w:pPr>
      <w:r w:rsidRPr="008C7FCC">
        <w:rPr>
          <w:noProof/>
          <w:lang w:eastAsia="en-AU"/>
        </w:rPr>
        <w:drawing>
          <wp:inline distT="0" distB="0" distL="0" distR="0" wp14:anchorId="48BDF4D7" wp14:editId="3A66BFFC">
            <wp:extent cx="4967020" cy="3218688"/>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t="6084"/>
                    <a:stretch>
                      <a:fillRect/>
                    </a:stretch>
                  </pic:blipFill>
                  <pic:spPr bwMode="auto">
                    <a:xfrm>
                      <a:off x="0" y="0"/>
                      <a:ext cx="4973096" cy="3222625"/>
                    </a:xfrm>
                    <a:prstGeom prst="rect">
                      <a:avLst/>
                    </a:prstGeom>
                    <a:noFill/>
                    <a:ln>
                      <a:noFill/>
                    </a:ln>
                  </pic:spPr>
                </pic:pic>
              </a:graphicData>
            </a:graphic>
          </wp:inline>
        </w:drawing>
      </w:r>
    </w:p>
    <w:p w:rsidR="00760877" w:rsidRPr="008C7FCC" w:rsidRDefault="00760877" w:rsidP="00760877">
      <w:pPr>
        <w:pStyle w:val="DSEBody"/>
      </w:pPr>
      <w:r w:rsidRPr="008C7FCC">
        <w:t xml:space="preserve">The land asset </w:t>
      </w:r>
      <w:r w:rsidR="00DC3EDB" w:rsidRPr="008C7FCC">
        <w:t xml:space="preserve">flow </w:t>
      </w:r>
      <w:r w:rsidRPr="008C7FCC">
        <w:t xml:space="preserve">account does not reflect the change in flows of ecosystem services that have occurred as a result of the program. </w:t>
      </w:r>
      <w:r w:rsidR="002F016A" w:rsidRPr="008C7FCC">
        <w:rPr>
          <w:highlight w:val="yellow"/>
        </w:rPr>
        <w:fldChar w:fldCharType="begin"/>
      </w:r>
      <w:r w:rsidR="002F016A" w:rsidRPr="008C7FCC">
        <w:instrText xml:space="preserve"> REF _Ref352067013 \h </w:instrText>
      </w:r>
      <w:r w:rsidR="002F016A" w:rsidRPr="008C7FCC">
        <w:rPr>
          <w:highlight w:val="yellow"/>
        </w:rPr>
      </w:r>
      <w:r w:rsidR="002F016A" w:rsidRPr="008C7FCC">
        <w:rPr>
          <w:highlight w:val="yellow"/>
        </w:rPr>
        <w:fldChar w:fldCharType="separate"/>
      </w:r>
      <w:r w:rsidR="00577A8F" w:rsidRPr="008C7FCC">
        <w:t xml:space="preserve">Table </w:t>
      </w:r>
      <w:r w:rsidR="00577A8F">
        <w:rPr>
          <w:noProof/>
        </w:rPr>
        <w:t>14</w:t>
      </w:r>
      <w:r w:rsidR="002F016A" w:rsidRPr="008C7FCC">
        <w:rPr>
          <w:highlight w:val="yellow"/>
        </w:rPr>
        <w:fldChar w:fldCharType="end"/>
      </w:r>
      <w:r w:rsidR="002F016A" w:rsidRPr="008C7FCC">
        <w:t xml:space="preserve"> </w:t>
      </w:r>
      <w:r w:rsidRPr="008C7FCC">
        <w:t xml:space="preserve">below gives an example of how the land accounts can be used to present this information. This table is classified according to land use, as in </w:t>
      </w:r>
      <w:r w:rsidR="002F016A" w:rsidRPr="008C7FCC">
        <w:rPr>
          <w:highlight w:val="yellow"/>
        </w:rPr>
        <w:fldChar w:fldCharType="begin"/>
      </w:r>
      <w:r w:rsidR="002F016A" w:rsidRPr="008C7FCC">
        <w:instrText xml:space="preserve"> REF _Ref352067013 \h </w:instrText>
      </w:r>
      <w:r w:rsidR="002F016A" w:rsidRPr="008C7FCC">
        <w:rPr>
          <w:highlight w:val="yellow"/>
        </w:rPr>
      </w:r>
      <w:r w:rsidR="002F016A" w:rsidRPr="008C7FCC">
        <w:rPr>
          <w:highlight w:val="yellow"/>
        </w:rPr>
        <w:fldChar w:fldCharType="separate"/>
      </w:r>
      <w:r w:rsidR="00577A8F" w:rsidRPr="008C7FCC">
        <w:t xml:space="preserve">Table </w:t>
      </w:r>
      <w:r w:rsidR="00577A8F">
        <w:rPr>
          <w:noProof/>
        </w:rPr>
        <w:t>14</w:t>
      </w:r>
      <w:r w:rsidR="002F016A" w:rsidRPr="008C7FCC">
        <w:rPr>
          <w:highlight w:val="yellow"/>
        </w:rPr>
        <w:fldChar w:fldCharType="end"/>
      </w:r>
      <w:r w:rsidR="002F016A" w:rsidRPr="008C7FCC">
        <w:t xml:space="preserve"> </w:t>
      </w:r>
      <w:r w:rsidRPr="008C7FCC">
        <w:t>above, but now the unit is a composite index of the change in ecosystem services. The Environmental Benefits Index</w:t>
      </w:r>
      <w:r w:rsidR="00BC7DBF">
        <w:t xml:space="preserve"> (‘</w:t>
      </w:r>
      <w:r w:rsidRPr="008C7FCC">
        <w:t>EBI</w:t>
      </w:r>
      <w:r w:rsidR="00BC7DBF">
        <w:t>’)</w:t>
      </w:r>
      <w:r w:rsidRPr="008C7FCC">
        <w:t xml:space="preserve"> is designed to represent a composite estimate of provisioning, regulating and cultural services. This table shows that ecosystem services on “Agriculture” land declined over the period, whereas ecosystem services on “Land used for maintenance and restoration of environmental functions” increased as a result of </w:t>
      </w:r>
      <w:r w:rsidR="00BC7DBF">
        <w:t>improved</w:t>
      </w:r>
      <w:r w:rsidRPr="008C7FCC">
        <w:t xml:space="preserve"> </w:t>
      </w:r>
      <w:r w:rsidR="00DC3EDB" w:rsidRPr="008C7FCC">
        <w:t xml:space="preserve">management. </w:t>
      </w:r>
    </w:p>
    <w:p w:rsidR="00760877" w:rsidRPr="008C7FCC" w:rsidRDefault="002F016A" w:rsidP="00760877">
      <w:pPr>
        <w:pStyle w:val="DSEBody"/>
      </w:pPr>
      <w:r w:rsidRPr="008C7FCC">
        <w:rPr>
          <w:highlight w:val="yellow"/>
        </w:rPr>
        <w:fldChar w:fldCharType="begin"/>
      </w:r>
      <w:r w:rsidRPr="008C7FCC">
        <w:instrText xml:space="preserve"> REF _Ref352067013 \h </w:instrText>
      </w:r>
      <w:r w:rsidRPr="008C7FCC">
        <w:rPr>
          <w:highlight w:val="yellow"/>
        </w:rPr>
      </w:r>
      <w:r w:rsidRPr="008C7FCC">
        <w:rPr>
          <w:highlight w:val="yellow"/>
        </w:rPr>
        <w:fldChar w:fldCharType="separate"/>
      </w:r>
      <w:r w:rsidR="00577A8F" w:rsidRPr="008C7FCC">
        <w:t xml:space="preserve">Table </w:t>
      </w:r>
      <w:r w:rsidR="00577A8F">
        <w:rPr>
          <w:noProof/>
        </w:rPr>
        <w:t>14</w:t>
      </w:r>
      <w:r w:rsidRPr="008C7FCC">
        <w:rPr>
          <w:highlight w:val="yellow"/>
        </w:rPr>
        <w:fldChar w:fldCharType="end"/>
      </w:r>
      <w:r w:rsidRPr="008C7FCC">
        <w:t xml:space="preserve"> </w:t>
      </w:r>
      <w:r w:rsidR="00760877" w:rsidRPr="008C7FCC">
        <w:t>is an experimental approach to producing SEEA: EEA physical accounts</w:t>
      </w:r>
      <w:r w:rsidR="00760877" w:rsidRPr="008C7FCC">
        <w:rPr>
          <w:rStyle w:val="EndnoteReference"/>
        </w:rPr>
        <w:endnoteReference w:id="30"/>
      </w:r>
      <w:r w:rsidR="00760877" w:rsidRPr="008C7FCC">
        <w:t xml:space="preserve"> without the ecosystem services being </w:t>
      </w:r>
      <w:r w:rsidR="00BC7DBF">
        <w:t xml:space="preserve">further </w:t>
      </w:r>
      <w:r w:rsidR="00760877" w:rsidRPr="008C7FCC">
        <w:t xml:space="preserve">classified into </w:t>
      </w:r>
      <w:r w:rsidR="00BC7DBF">
        <w:t>as</w:t>
      </w:r>
      <w:r w:rsidR="00760877" w:rsidRPr="008C7FCC">
        <w:t xml:space="preserve"> provisioning, regulating and cultural</w:t>
      </w:r>
      <w:r w:rsidR="00BC7DBF">
        <w:t xml:space="preserve"> services</w:t>
      </w:r>
      <w:r w:rsidR="00760877" w:rsidRPr="008C7FCC">
        <w:t>.</w:t>
      </w:r>
    </w:p>
    <w:p w:rsidR="007D4012" w:rsidRPr="008C7FCC" w:rsidRDefault="007D4012" w:rsidP="00DC3EDB">
      <w:pPr>
        <w:pStyle w:val="DSECaption"/>
        <w:keepNext/>
      </w:pPr>
      <w:bookmarkStart w:id="54" w:name="_Ref352067013"/>
      <w:bookmarkStart w:id="55" w:name="_Toc352141265"/>
      <w:r w:rsidRPr="008C7FCC">
        <w:lastRenderedPageBreak/>
        <w:t xml:space="preserve">Table </w:t>
      </w:r>
      <w:r w:rsidR="002A5794">
        <w:fldChar w:fldCharType="begin"/>
      </w:r>
      <w:r w:rsidR="002A5794">
        <w:instrText xml:space="preserve"> SEQ Table \* ARABIC </w:instrText>
      </w:r>
      <w:r w:rsidR="002A5794">
        <w:fldChar w:fldCharType="separate"/>
      </w:r>
      <w:r w:rsidR="00577A8F">
        <w:rPr>
          <w:noProof/>
        </w:rPr>
        <w:t>14</w:t>
      </w:r>
      <w:r w:rsidR="002A5794">
        <w:rPr>
          <w:noProof/>
        </w:rPr>
        <w:fldChar w:fldCharType="end"/>
      </w:r>
      <w:bookmarkEnd w:id="54"/>
      <w:r w:rsidRPr="008C7FCC">
        <w:t xml:space="preserve">. Ecosystem service flow account, by land </w:t>
      </w:r>
      <w:r w:rsidR="00DC3EDB" w:rsidRPr="008C7FCC">
        <w:t>use,</w:t>
      </w:r>
      <w:r w:rsidRPr="008C7FCC">
        <w:t xml:space="preserve"> 2010 and 2015 (predicted)</w:t>
      </w:r>
      <w:bookmarkEnd w:id="55"/>
    </w:p>
    <w:bookmarkStart w:id="56" w:name="_MON_1425830613"/>
    <w:bookmarkEnd w:id="56"/>
    <w:p w:rsidR="007D4012" w:rsidRPr="008C7FCC" w:rsidRDefault="00FF49E2" w:rsidP="00071F0C">
      <w:pPr>
        <w:pStyle w:val="DSEBody"/>
      </w:pPr>
      <w:r w:rsidRPr="008C7FCC">
        <w:object w:dxaOrig="8607" w:dyaOrig="62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75pt;height:312pt" o:ole="" fillcolor="#ffe1bf">
            <v:imagedata r:id="rId39" o:title="" cropbottom="1629f"/>
          </v:shape>
          <o:OLEObject Type="Embed" ProgID="Word.Document.8" ShapeID="_x0000_i1025" DrawAspect="Content" ObjectID="_1425884919" r:id="rId40">
            <o:FieldCodes>\s</o:FieldCodes>
          </o:OLEObject>
        </w:object>
      </w:r>
    </w:p>
    <w:p w:rsidR="00760877" w:rsidRPr="008C7FCC" w:rsidRDefault="00760877" w:rsidP="00071F0C">
      <w:pPr>
        <w:pStyle w:val="DSEHA"/>
        <w:rPr>
          <w:lang w:val="en-AU"/>
        </w:rPr>
      </w:pPr>
      <w:bookmarkStart w:id="57" w:name="_Toc352141282"/>
      <w:r w:rsidRPr="008C7FCC">
        <w:rPr>
          <w:lang w:val="en-AU"/>
        </w:rPr>
        <w:t>Concluding remarks</w:t>
      </w:r>
      <w:bookmarkEnd w:id="57"/>
    </w:p>
    <w:p w:rsidR="002C047A" w:rsidRPr="008C7FCC" w:rsidRDefault="002C047A" w:rsidP="002C047A">
      <w:pPr>
        <w:pStyle w:val="DSEBody"/>
      </w:pPr>
      <w:r w:rsidRPr="008C7FCC">
        <w:t xml:space="preserve">The paper has developed a series of </w:t>
      </w:r>
      <w:r w:rsidR="00D53DF5" w:rsidRPr="008C7FCC">
        <w:t xml:space="preserve">experimental </w:t>
      </w:r>
      <w:r w:rsidRPr="008C7FCC">
        <w:t xml:space="preserve">ecosystem accounts </w:t>
      </w:r>
      <w:r w:rsidR="00D53DF5" w:rsidRPr="008C7FCC">
        <w:t>for Victoria based on</w:t>
      </w:r>
      <w:r w:rsidRPr="008C7FCC">
        <w:t xml:space="preserve"> principles from the SEEA:</w:t>
      </w:r>
      <w:r w:rsidR="00210F33" w:rsidRPr="008C7FCC">
        <w:t xml:space="preserve"> </w:t>
      </w:r>
      <w:r w:rsidRPr="008C7FCC">
        <w:t>CF and the SEEA:</w:t>
      </w:r>
      <w:r w:rsidR="00210F33" w:rsidRPr="008C7FCC">
        <w:t xml:space="preserve"> </w:t>
      </w:r>
      <w:r w:rsidRPr="008C7FCC">
        <w:t xml:space="preserve">EEA. </w:t>
      </w:r>
      <w:r w:rsidR="00D53DF5" w:rsidRPr="008C7FCC">
        <w:t>T</w:t>
      </w:r>
      <w:r w:rsidRPr="008C7FCC">
        <w:t xml:space="preserve">he </w:t>
      </w:r>
      <w:r w:rsidR="00D53DF5" w:rsidRPr="008C7FCC">
        <w:t xml:space="preserve">availability of data sets on ecosystem assets and environmental market transactions in </w:t>
      </w:r>
      <w:r w:rsidRPr="008C7FCC">
        <w:t>Victoria</w:t>
      </w:r>
      <w:r w:rsidR="00D53DF5" w:rsidRPr="008C7FCC">
        <w:t xml:space="preserve"> make</w:t>
      </w:r>
      <w:r w:rsidR="00A35EBE">
        <w:t>s</w:t>
      </w:r>
      <w:r w:rsidR="00D53DF5" w:rsidRPr="008C7FCC">
        <w:t xml:space="preserve"> it possible to test the practical application of SEEA</w:t>
      </w:r>
      <w:r w:rsidR="000A1E24">
        <w:t>: EEA</w:t>
      </w:r>
      <w:r w:rsidRPr="008C7FCC">
        <w:t>. The</w:t>
      </w:r>
      <w:r w:rsidR="003C342E">
        <w:t xml:space="preserve"> </w:t>
      </w:r>
      <w:r w:rsidR="00036E98">
        <w:t>paper</w:t>
      </w:r>
      <w:r w:rsidR="003C342E">
        <w:t xml:space="preserve"> demonstrate</w:t>
      </w:r>
      <w:r w:rsidR="00036E98">
        <w:t>s</w:t>
      </w:r>
      <w:r w:rsidR="003C342E">
        <w:t xml:space="preserve"> that</w:t>
      </w:r>
      <w:r w:rsidRPr="008C7FCC">
        <w:t xml:space="preserve"> SEEA: EEA provides </w:t>
      </w:r>
      <w:r w:rsidR="009B7D2D" w:rsidRPr="008C7FCC">
        <w:t xml:space="preserve">an </w:t>
      </w:r>
      <w:r w:rsidR="00BC7DBF">
        <w:t>important</w:t>
      </w:r>
      <w:r w:rsidRPr="008C7FCC">
        <w:t xml:space="preserve"> </w:t>
      </w:r>
      <w:r w:rsidR="009B7D2D" w:rsidRPr="008C7FCC">
        <w:t>f</w:t>
      </w:r>
      <w:r w:rsidR="003C342E">
        <w:t>ramework</w:t>
      </w:r>
      <w:r w:rsidR="009B7D2D" w:rsidRPr="008C7FCC">
        <w:t xml:space="preserve"> </w:t>
      </w:r>
      <w:r w:rsidR="00210F33" w:rsidRPr="008C7FCC">
        <w:t>for ecosystem accounting and a</w:t>
      </w:r>
      <w:r w:rsidR="00070FDB" w:rsidRPr="008C7FCC">
        <w:t xml:space="preserve"> solid foundation for</w:t>
      </w:r>
      <w:r w:rsidRPr="008C7FCC">
        <w:t xml:space="preserve"> exp</w:t>
      </w:r>
      <w:r w:rsidR="000C7F02">
        <w:t xml:space="preserve">loring the </w:t>
      </w:r>
      <w:r w:rsidR="00E61631">
        <w:t xml:space="preserve">applications of ecosystem accounting in policy decisions </w:t>
      </w:r>
      <w:r w:rsidR="00E05BDA">
        <w:t>and natural resource investments.</w:t>
      </w:r>
      <w:r w:rsidR="00036E98">
        <w:t xml:space="preserve">  However, there are still several chal</w:t>
      </w:r>
      <w:r w:rsidR="000630DE">
        <w:t>lenges that require further research and discussion</w:t>
      </w:r>
      <w:r w:rsidR="00036E98">
        <w:t>.</w:t>
      </w:r>
    </w:p>
    <w:p w:rsidR="002C047A" w:rsidRPr="008C7FCC" w:rsidRDefault="002C047A" w:rsidP="00DE51EA">
      <w:pPr>
        <w:pStyle w:val="DSEBody"/>
      </w:pPr>
      <w:r w:rsidRPr="008C7FCC">
        <w:t>Work in Victoria will continue in a number of areas including:</w:t>
      </w:r>
    </w:p>
    <w:p w:rsidR="002C047A" w:rsidRPr="008C7FCC" w:rsidRDefault="002C047A" w:rsidP="001C3701">
      <w:pPr>
        <w:pStyle w:val="DSEBody"/>
        <w:numPr>
          <w:ilvl w:val="0"/>
          <w:numId w:val="30"/>
        </w:numPr>
      </w:pPr>
      <w:r w:rsidRPr="008C7FCC">
        <w:t>Linking intra- and inter-ecosystem flows to ecosystem services</w:t>
      </w:r>
    </w:p>
    <w:p w:rsidR="002C047A" w:rsidRPr="008C7FCC" w:rsidRDefault="002C047A" w:rsidP="001C3701">
      <w:pPr>
        <w:pStyle w:val="DSEBody"/>
        <w:numPr>
          <w:ilvl w:val="0"/>
          <w:numId w:val="30"/>
        </w:numPr>
      </w:pPr>
      <w:r w:rsidRPr="008C7FCC">
        <w:t xml:space="preserve">Refining </w:t>
      </w:r>
      <w:r w:rsidR="008F245B" w:rsidRPr="008C7FCC">
        <w:t>methodol</w:t>
      </w:r>
      <w:r w:rsidR="00A673C5">
        <w:t>ogies for measurement and aggreg</w:t>
      </w:r>
      <w:r w:rsidR="008F245B" w:rsidRPr="008C7FCC">
        <w:t>ation</w:t>
      </w:r>
      <w:r w:rsidRPr="008C7FCC">
        <w:t xml:space="preserve"> to better </w:t>
      </w:r>
      <w:r w:rsidR="00A673C5">
        <w:t>characte</w:t>
      </w:r>
      <w:r w:rsidR="008F245B" w:rsidRPr="008C7FCC">
        <w:t>rise</w:t>
      </w:r>
      <w:r w:rsidRPr="008C7FCC">
        <w:t xml:space="preserve"> intra- and inter-ecosystem flows</w:t>
      </w:r>
    </w:p>
    <w:p w:rsidR="002C047A" w:rsidRPr="008C7FCC" w:rsidRDefault="002C047A" w:rsidP="001C3701">
      <w:pPr>
        <w:pStyle w:val="DSEBody"/>
        <w:numPr>
          <w:ilvl w:val="0"/>
          <w:numId w:val="30"/>
        </w:numPr>
      </w:pPr>
      <w:r w:rsidRPr="008C7FCC">
        <w:t>Continu</w:t>
      </w:r>
      <w:r w:rsidR="00BC7DBF">
        <w:t>ing</w:t>
      </w:r>
      <w:r w:rsidRPr="008C7FCC">
        <w:t xml:space="preserve"> to refine local data sets and work with both the Commonwealth and other state agencies to ensure </w:t>
      </w:r>
      <w:r w:rsidR="008F6C6A">
        <w:t xml:space="preserve">a </w:t>
      </w:r>
      <w:r w:rsidRPr="008C7FCC">
        <w:t xml:space="preserve">coordinated </w:t>
      </w:r>
      <w:r w:rsidR="00434EE0" w:rsidRPr="008C7FCC">
        <w:t>approach to the collection and presentation of data sets</w:t>
      </w:r>
    </w:p>
    <w:p w:rsidR="008F6C6A" w:rsidRDefault="00BC7DBF" w:rsidP="002C047A">
      <w:pPr>
        <w:pStyle w:val="DSEBody"/>
        <w:numPr>
          <w:ilvl w:val="0"/>
          <w:numId w:val="30"/>
        </w:numPr>
      </w:pPr>
      <w:r>
        <w:t>I</w:t>
      </w:r>
      <w:r w:rsidR="002C047A" w:rsidRPr="008C7FCC">
        <w:t>mprov</w:t>
      </w:r>
      <w:r>
        <w:t>ing</w:t>
      </w:r>
      <w:r w:rsidR="002C047A" w:rsidRPr="008C7FCC">
        <w:t xml:space="preserve"> the linkages between local environmental transactions and classification methods used in functional account</w:t>
      </w:r>
      <w:r w:rsidR="00E53521">
        <w:t>s in both the SNA and the SEEA:</w:t>
      </w:r>
      <w:r w:rsidR="002C047A" w:rsidRPr="008C7FCC">
        <w:t>CF</w:t>
      </w:r>
      <w:r>
        <w:t xml:space="preserve"> </w:t>
      </w:r>
      <w:r w:rsidR="00E53521">
        <w:t>through work with the ABS</w:t>
      </w:r>
    </w:p>
    <w:p w:rsidR="002F4FA1" w:rsidRPr="008C7FCC" w:rsidRDefault="00E53521" w:rsidP="002C047A">
      <w:pPr>
        <w:pStyle w:val="DSEBody"/>
        <w:numPr>
          <w:ilvl w:val="0"/>
          <w:numId w:val="30"/>
        </w:numPr>
      </w:pPr>
      <w:r>
        <w:t>T</w:t>
      </w:r>
      <w:r w:rsidR="002C047A" w:rsidRPr="008C7FCC">
        <w:t>ailor</w:t>
      </w:r>
      <w:r>
        <w:t>ing</w:t>
      </w:r>
      <w:r w:rsidR="002C047A" w:rsidRPr="008C7FCC">
        <w:t xml:space="preserve"> reporting and accounting to meet the needs of local, state and federal agencies.</w:t>
      </w:r>
    </w:p>
    <w:p w:rsidR="003F7E25" w:rsidRPr="008C7FCC" w:rsidRDefault="003F7E25">
      <w:pPr>
        <w:rPr>
          <w:rFonts w:ascii="Arial" w:hAnsi="Arial" w:cs="Arial"/>
          <w:color w:val="5A6E7E"/>
          <w:sz w:val="40"/>
        </w:rPr>
      </w:pPr>
    </w:p>
    <w:p w:rsidR="00760877" w:rsidRPr="008C7FCC" w:rsidRDefault="00071F0C" w:rsidP="009C3FA8">
      <w:pPr>
        <w:pStyle w:val="DSEHA"/>
        <w:pageBreakBefore/>
        <w:rPr>
          <w:lang w:val="en-AU"/>
        </w:rPr>
      </w:pPr>
      <w:bookmarkStart w:id="58" w:name="_Toc352141283"/>
      <w:r w:rsidRPr="008C7FCC">
        <w:rPr>
          <w:lang w:val="en-AU"/>
        </w:rPr>
        <w:lastRenderedPageBreak/>
        <w:t>Appendix</w:t>
      </w:r>
      <w:r w:rsidR="00AC23C1" w:rsidRPr="008C7FCC">
        <w:rPr>
          <w:lang w:val="en-AU"/>
        </w:rPr>
        <w:t xml:space="preserve"> A</w:t>
      </w:r>
      <w:r w:rsidR="00760877" w:rsidRPr="008C7FCC">
        <w:rPr>
          <w:lang w:val="en-AU"/>
        </w:rPr>
        <w:t>: Full data sets</w:t>
      </w:r>
      <w:bookmarkEnd w:id="58"/>
    </w:p>
    <w:p w:rsidR="00760877" w:rsidRPr="008C7FCC" w:rsidRDefault="00760877" w:rsidP="00760877">
      <w:pPr>
        <w:pStyle w:val="DSEBody"/>
      </w:pPr>
      <w:r w:rsidRPr="008C7FCC">
        <w:t xml:space="preserve">All data </w:t>
      </w:r>
      <w:r w:rsidR="00653B69">
        <w:t xml:space="preserve">sets </w:t>
      </w:r>
      <w:r w:rsidRPr="008C7FCC">
        <w:t>and tables were produced with the aid of Victoria’s Environmental Systems Modelling Platform</w:t>
      </w:r>
      <w:r w:rsidR="00410B0D" w:rsidRPr="008C7FCC">
        <w:t xml:space="preserve"> (EnSym).  For more information on EnSym, see</w:t>
      </w:r>
      <w:r w:rsidRPr="008C7FCC">
        <w:t xml:space="preserve"> </w:t>
      </w:r>
      <w:hyperlink r:id="rId41" w:history="1">
        <w:r w:rsidRPr="008C7FCC">
          <w:rPr>
            <w:rStyle w:val="Hyperlink"/>
          </w:rPr>
          <w:t>https://ensym.dse.vic.gov.au/cms/</w:t>
        </w:r>
      </w:hyperlink>
    </w:p>
    <w:p w:rsidR="009B1805" w:rsidRPr="008C7FCC" w:rsidRDefault="00ED60C9" w:rsidP="009B1805">
      <w:pPr>
        <w:pStyle w:val="DSEBody"/>
      </w:pPr>
      <w:r>
        <w:t>Please click on</w:t>
      </w:r>
      <w:r w:rsidR="009B1805" w:rsidRPr="008C7FCC">
        <w:t xml:space="preserve"> the </w:t>
      </w:r>
      <w:r w:rsidR="00071F0C" w:rsidRPr="008C7FCC">
        <w:t>link</w:t>
      </w:r>
      <w:r w:rsidR="009B1805" w:rsidRPr="008C7FCC">
        <w:t>s below</w:t>
      </w:r>
      <w:r w:rsidR="00071F0C" w:rsidRPr="008C7FCC">
        <w:t xml:space="preserve"> to </w:t>
      </w:r>
      <w:r w:rsidR="00604FBF">
        <w:t>access the</w:t>
      </w:r>
      <w:r w:rsidR="00071F0C" w:rsidRPr="008C7FCC">
        <w:t xml:space="preserve"> full data sets</w:t>
      </w:r>
      <w:r w:rsidR="009B1805" w:rsidRPr="008C7FCC">
        <w:t>.</w:t>
      </w:r>
    </w:p>
    <w:p w:rsidR="009B1805" w:rsidRPr="008C7FCC" w:rsidRDefault="009B1805" w:rsidP="009B1805">
      <w:pPr>
        <w:pStyle w:val="DSEBody"/>
      </w:pPr>
    </w:p>
    <w:p w:rsidR="00760877" w:rsidRPr="008C7FCC" w:rsidRDefault="00760877" w:rsidP="009B1805">
      <w:pPr>
        <w:pStyle w:val="DSEHD"/>
      </w:pPr>
      <w:r w:rsidRPr="008C7FCC">
        <w:t xml:space="preserve">Victorian </w:t>
      </w:r>
      <w:r w:rsidR="00E84145" w:rsidRPr="008C7FCC">
        <w:t xml:space="preserve">data </w:t>
      </w:r>
      <w:r w:rsidRPr="008C7FCC">
        <w:t>sets</w:t>
      </w:r>
    </w:p>
    <w:p w:rsidR="00071F0C" w:rsidRPr="008C7FCC" w:rsidRDefault="007E3D7E" w:rsidP="00071F0C">
      <w:pPr>
        <w:pStyle w:val="DSEBody"/>
      </w:pPr>
      <w:r w:rsidRPr="008C7FCC">
        <w:object w:dxaOrig="1551" w:dyaOrig="1004">
          <v:shape id="_x0000_i1026" type="#_x0000_t75" style="width:77.25pt;height:50.25pt" o:ole="">
            <v:imagedata r:id="rId42" o:title=""/>
          </v:shape>
          <o:OLEObject Type="Embed" ProgID="Excel.Sheet.8" ShapeID="_x0000_i1026" DrawAspect="Icon" ObjectID="_1425884920" r:id="rId43"/>
        </w:object>
      </w:r>
    </w:p>
    <w:p w:rsidR="001A74F8" w:rsidRPr="008C7FCC" w:rsidRDefault="001A74F8" w:rsidP="00071F0C">
      <w:pPr>
        <w:pStyle w:val="DSEBody"/>
      </w:pPr>
    </w:p>
    <w:p w:rsidR="00760877" w:rsidRPr="002A5794" w:rsidRDefault="00760877" w:rsidP="009B1805">
      <w:pPr>
        <w:pStyle w:val="DSEHC"/>
        <w:rPr>
          <w:i/>
        </w:rPr>
      </w:pPr>
      <w:r w:rsidRPr="002A5794">
        <w:rPr>
          <w:i/>
        </w:rPr>
        <w:t>CMA data sets</w:t>
      </w:r>
    </w:p>
    <w:p w:rsidR="00071F0C" w:rsidRPr="008C7FCC" w:rsidRDefault="007E3D7E" w:rsidP="00760877">
      <w:pPr>
        <w:pStyle w:val="DSEBody"/>
      </w:pPr>
      <w:r w:rsidRPr="008C7FCC">
        <w:object w:dxaOrig="1551" w:dyaOrig="1004">
          <v:shape id="_x0000_i1027" type="#_x0000_t75" style="width:77.25pt;height:50.25pt" o:ole="">
            <v:imagedata r:id="rId44" o:title=""/>
          </v:shape>
          <o:OLEObject Type="Embed" ProgID="Excel.Sheet.8" ShapeID="_x0000_i1027" DrawAspect="Icon" ObjectID="_1425884921" r:id="rId45"/>
        </w:object>
      </w:r>
    </w:p>
    <w:p w:rsidR="007E3D7E" w:rsidRPr="008C7FCC" w:rsidRDefault="007E3D7E" w:rsidP="00760877">
      <w:pPr>
        <w:pStyle w:val="DSEBody"/>
      </w:pPr>
    </w:p>
    <w:p w:rsidR="00760877" w:rsidRPr="008C7FCC" w:rsidRDefault="00760877" w:rsidP="009B1805">
      <w:pPr>
        <w:pStyle w:val="DSEHD"/>
      </w:pPr>
      <w:r w:rsidRPr="008C7FCC">
        <w:t>Bioregion data sets</w:t>
      </w:r>
    </w:p>
    <w:p w:rsidR="00071F0C" w:rsidRPr="008C7FCC" w:rsidRDefault="007E3D7E" w:rsidP="00760877">
      <w:pPr>
        <w:pStyle w:val="DSEBody"/>
      </w:pPr>
      <w:r w:rsidRPr="008C7FCC">
        <w:object w:dxaOrig="1551" w:dyaOrig="1004">
          <v:shape id="_x0000_i1028" type="#_x0000_t75" style="width:77.25pt;height:50.25pt" o:ole="">
            <v:imagedata r:id="rId46" o:title=""/>
          </v:shape>
          <o:OLEObject Type="Embed" ProgID="Excel.Sheet.8" ShapeID="_x0000_i1028" DrawAspect="Icon" ObjectID="_1425884922" r:id="rId47"/>
        </w:object>
      </w:r>
    </w:p>
    <w:p w:rsidR="007E3D7E" w:rsidRPr="008C7FCC" w:rsidRDefault="007E3D7E" w:rsidP="00760877">
      <w:pPr>
        <w:pStyle w:val="DSEBody"/>
      </w:pPr>
    </w:p>
    <w:p w:rsidR="00760877" w:rsidRPr="008C7FCC" w:rsidRDefault="00760877" w:rsidP="009B1805">
      <w:pPr>
        <w:pStyle w:val="DSEHD"/>
      </w:pPr>
      <w:r w:rsidRPr="008C7FCC">
        <w:t xml:space="preserve">SA4 </w:t>
      </w:r>
      <w:r w:rsidR="00E84145" w:rsidRPr="008C7FCC">
        <w:t xml:space="preserve">data </w:t>
      </w:r>
      <w:r w:rsidRPr="008C7FCC">
        <w:t>sets</w:t>
      </w:r>
    </w:p>
    <w:p w:rsidR="00071F0C" w:rsidRPr="008C7FCC" w:rsidRDefault="007E3D7E" w:rsidP="00760877">
      <w:pPr>
        <w:pStyle w:val="DSEBody"/>
      </w:pPr>
      <w:r w:rsidRPr="008C7FCC">
        <w:object w:dxaOrig="1551" w:dyaOrig="1004">
          <v:shape id="_x0000_i1029" type="#_x0000_t75" style="width:77.25pt;height:50.25pt" o:ole="">
            <v:imagedata r:id="rId48" o:title=""/>
          </v:shape>
          <o:OLEObject Type="Embed" ProgID="Excel.Sheet.8" ShapeID="_x0000_i1029" DrawAspect="Icon" ObjectID="_1425884923" r:id="rId49"/>
        </w:object>
      </w:r>
    </w:p>
    <w:p w:rsidR="00CA7218" w:rsidRPr="008C7FCC" w:rsidRDefault="00CA7218" w:rsidP="00760877">
      <w:pPr>
        <w:pStyle w:val="DSEBody"/>
      </w:pPr>
    </w:p>
    <w:p w:rsidR="00AA52C7" w:rsidRPr="008C7FCC" w:rsidRDefault="00AA52C7" w:rsidP="00AA52C7">
      <w:r w:rsidRPr="008C7FCC">
        <w:br w:type="page"/>
      </w:r>
    </w:p>
    <w:p w:rsidR="00071F0C" w:rsidRPr="008C7FCC" w:rsidRDefault="00071F0C" w:rsidP="00AA52C7">
      <w:pPr>
        <w:rPr>
          <w:rFonts w:ascii="Arial" w:hAnsi="Arial" w:cs="Arial"/>
          <w:sz w:val="18"/>
        </w:rPr>
      </w:pPr>
    </w:p>
    <w:p w:rsidR="00AA52C7" w:rsidRPr="008C7FCC" w:rsidRDefault="00AA52C7" w:rsidP="00DE51EA">
      <w:pPr>
        <w:rPr>
          <w:rFonts w:ascii="Arial" w:hAnsi="Arial" w:cs="Arial"/>
          <w:sz w:val="18"/>
        </w:rPr>
        <w:sectPr w:rsidR="00AA52C7" w:rsidRPr="008C7FCC" w:rsidSect="002210E1">
          <w:headerReference w:type="even" r:id="rId50"/>
          <w:headerReference w:type="default" r:id="rId51"/>
          <w:footerReference w:type="even" r:id="rId52"/>
          <w:footerReference w:type="default" r:id="rId53"/>
          <w:headerReference w:type="first" r:id="rId54"/>
          <w:footerReference w:type="first" r:id="rId55"/>
          <w:footnotePr>
            <w:numFmt w:val="lowerRoman"/>
          </w:footnotePr>
          <w:endnotePr>
            <w:numFmt w:val="decimal"/>
          </w:endnotePr>
          <w:pgSz w:w="11907" w:h="16840" w:code="9"/>
          <w:pgMar w:top="1134" w:right="1134" w:bottom="1134" w:left="1134" w:header="709" w:footer="567" w:gutter="0"/>
          <w:pgNumType w:start="1"/>
          <w:cols w:space="708"/>
          <w:formProt w:val="0"/>
          <w:titlePg/>
          <w:docGrid w:linePitch="360"/>
        </w:sectPr>
      </w:pPr>
    </w:p>
    <w:p w:rsidR="001D7D7D" w:rsidRPr="008C7FCC" w:rsidRDefault="001D7D7D" w:rsidP="003917F9">
      <w:pPr>
        <w:pStyle w:val="DSEBody"/>
      </w:pPr>
    </w:p>
    <w:p w:rsidR="00536641" w:rsidRPr="008C7FCC" w:rsidRDefault="00536641" w:rsidP="003917F9">
      <w:pPr>
        <w:pStyle w:val="DSEBody"/>
      </w:pPr>
    </w:p>
    <w:p w:rsidR="00536641" w:rsidRPr="008C7FCC" w:rsidRDefault="00536641" w:rsidP="003917F9">
      <w:pPr>
        <w:pStyle w:val="DSEBody"/>
        <w:sectPr w:rsidR="00536641" w:rsidRPr="008C7FCC" w:rsidSect="003917F9">
          <w:headerReference w:type="first" r:id="rId56"/>
          <w:footerReference w:type="first" r:id="rId57"/>
          <w:pgSz w:w="11907" w:h="16840" w:code="9"/>
          <w:pgMar w:top="1134" w:right="1134" w:bottom="1134" w:left="1134" w:header="709" w:footer="567" w:gutter="0"/>
          <w:pgNumType w:start="1"/>
          <w:cols w:space="708"/>
          <w:formProt w:val="0"/>
          <w:titlePg/>
          <w:docGrid w:linePitch="360"/>
        </w:sectPr>
      </w:pPr>
    </w:p>
    <w:p w:rsidR="00536641" w:rsidRPr="008C7FCC" w:rsidRDefault="00536641" w:rsidP="003917F9">
      <w:pPr>
        <w:pStyle w:val="DSEBody"/>
      </w:pPr>
    </w:p>
    <w:p w:rsidR="00536641" w:rsidRPr="008C7FCC" w:rsidRDefault="00536641" w:rsidP="003917F9">
      <w:pPr>
        <w:pStyle w:val="DSEBody"/>
      </w:pPr>
    </w:p>
    <w:sectPr w:rsidR="00536641" w:rsidRPr="008C7FCC" w:rsidSect="00536641">
      <w:type w:val="continuous"/>
      <w:pgSz w:w="11907" w:h="16840" w:code="9"/>
      <w:pgMar w:top="1134" w:right="1134" w:bottom="1134" w:left="1134" w:header="709" w:footer="567" w:gutter="0"/>
      <w:pgNumType w:start="1"/>
      <w:cols w:space="708"/>
      <w:formProt w:val="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60">
      <wne:acd wne:acdName="acd0"/>
    </wne:keymap>
    <wne:keymap wne:kcmPrimary="0261">
      <wne:acd wne:acdName="acd2"/>
    </wne:keymap>
    <wne:keymap wne:kcmPrimary="0262">
      <wne:acd wne:acdName="acd3"/>
    </wne:keymap>
    <wne:keymap wne:kcmPrimary="0263">
      <wne:acd wne:acdName="acd4"/>
    </wne:keymap>
    <wne:keymap wne:kcmPrimary="0264">
      <wne:acd wne:acdName="acd5"/>
    </wne:keymap>
    <wne:keymap wne:kcmPrimary="0265">
      <wne:acd wne:acdName="acd7"/>
    </wne:keymap>
    <wne:keymap wne:kcmPrimary="0266">
      <wne:acd wne:acdName="acd6"/>
    </wne:keymap>
    <wne:keymap wne:kcmPrimary="0267">
      <wne:acd wne:acdName="acd12"/>
    </wne:keymap>
    <wne:keymap wne:kcmPrimary="0268">
      <wne:acd wne:acdName="acd13"/>
    </wne:keymap>
    <wne:keymap wne:kcmPrimary="0269">
      <wne:acd wne:acdName="acd14"/>
    </wne:keymap>
    <wne:keymap wne:kcmPrimary="026A">
      <wne:acd wne:acdName="acd20"/>
    </wne:keymap>
    <wne:keymap wne:kcmPrimary="026F">
      <wne:acd wne:acdName="acd1"/>
    </wne:keymap>
    <wne:keymap wne:kcmPrimary="0667">
      <wne:acd wne:acdName="acd9"/>
    </wne:keymap>
    <wne:keymap wne:kcmPrimary="0668">
      <wne:acd wne:acdName="acd10"/>
    </wne:keymap>
    <wne:keymap wne:kcmPrimary="0669">
      <wne:acd wne:acdName="acd11"/>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Manifest>
    <wne:toolbarData r:id="rId1"/>
  </wne:toolbars>
  <wne:acds>
    <wne:acd wne:argValue="AgBEAFMARQBfAEIAbwBkAHkA" wne:acdName="acd0" wne:fciIndexBasedOn="0065"/>
    <wne:acd wne:argValue="AgBEAFMARQBfAEIAdQBsAGwAZQB0AA==" wne:acdName="acd1" wne:fciIndexBasedOn="0065"/>
    <wne:acd wne:argValue="AgBEAFMARQBfAEgAQQA=" wne:acdName="acd2" wne:fciIndexBasedOn="0065"/>
    <wne:acd wne:argValue="AgBEAFMARQBfAEgAQgA=" wne:acdName="acd3" wne:fciIndexBasedOn="0065"/>
    <wne:acd wne:argValue="AgBEAFMARQBfAEgAQwA=" wne:acdName="acd4" wne:fciIndexBasedOn="0065"/>
    <wne:acd wne:argValue="AgBEAFMARQBfAEgARAA=" wne:acdName="acd5" wne:fciIndexBasedOn="0065"/>
    <wne:acd wne:argValue="AgBEAFMARQBfAFAAdQBsAGwAbwB1AHQA" wne:acdName="acd6" wne:fciIndexBasedOn="0065"/>
    <wne:acd wne:argValue="AgBEAFMARQBfAEMAYQBwAHQAaQBvAG4A" wne:acdName="acd7" wne:fciIndexBasedOn="0065"/>
    <wne:acd wne:argValue="AgBEAFMARQBfAFQAYQBiAGwAZQBUAGkAdABsAGUA" wne:acdName="acd8" wne:fciIndexBasedOn="0065"/>
    <wne:acd wne:argValue="AgBEAFMARQBfAFQAYgBsAEgAZABMAA==" wne:acdName="acd9" wne:fciIndexBasedOn="0065"/>
    <wne:acd wne:argValue="AgBEAFMARQBfAFQAYgBsAEgAZABDAA==" wne:acdName="acd10" wne:fciIndexBasedOn="0065"/>
    <wne:acd wne:argValue="AgBEAFMARQBfAFQAYgBsAEgAZABSAA==" wne:acdName="acd11" wne:fciIndexBasedOn="0065"/>
    <wne:acd wne:argValue="AgBEAFMARQBfAFQAYgBsAEIAZAB5AEwA" wne:acdName="acd12" wne:fciIndexBasedOn="0065"/>
    <wne:acd wne:argValue="AgBEAFMARQBfAFQAYgBsAEIAZAB5AEMA" wne:acdName="acd13" wne:fciIndexBasedOn="0065"/>
    <wne:acd wne:argValue="AgBEAFMARQBfAFQAYgBsAEIAZAB5AFIA" wne:acdName="acd14" wne:fciIndexBasedOn="0065"/>
    <wne:acd wne:argValue="RABTAEUAXwBGAGUAYQB0AHUAcgBlAEIAbwB4AA==" wne:acdName="acd15" wne:fciIndexBasedOn="0211"/>
    <wne:acd wne:argValue="RABTAEUAXwBCAGEAbgBuAGUAcgBJAG0AYQBnAGUA" wne:acdName="acd16" wne:fciIndexBasedOn="0211"/>
    <wne:acd wne:argValue="RABTAEUAXwB0AGEAbABsAHAAaQBjAEgAQQA=" wne:acdName="acd17" wne:fciIndexBasedOn="0211"/>
    <wne:acd wne:argValue="RABTAEUAXwBIAEEAdABhAGwAbABwAGkAYwA=" wne:acdName="acd18" wne:fciIndexBasedOn="0211"/>
    <wne:acd wne:argValue="AgBEAFMARQBfAFQAYQBiAGwAZQA=" wne:acdName="acd19" wne:fciIndexBasedOn="0065"/>
    <wne:acd wne:argValue="AgBEAFMARQBfAEIAdQBsAGwAZQB0ADIA" wne:acdName="acd20" wne:fciIndexBasedOn="0065"/>
    <wne:acd wne:acdName="acd21" wne:fciIndexBasedOn="0211"/>
    <wne:acd wne:acdName="acd22" wne:fciIndexBasedOn="0211"/>
    <wne:acd wne:acdName="acd23" wne:fciIndexBasedOn="0211"/>
    <wne:acd wne:argValue="RABTAEUAXwBDAG8AdgBlAHIAMQBHAHkA" wne:acdName="acd24" wne:fciIndexBasedOn="0211"/>
    <wne:acd wne:argValue="RABTAEUAXwBDAG8AdgBlAHIAMgBHAHkA" wne:acdName="acd25" wne:fciIndexBasedOn="0211"/>
    <wne:acd wne:argValue="RABTAEUAXwBDAG8AdgBlAHIAMwBHAHkA" wne:acdName="acd26" wne:fciIndexBasedOn="0211"/>
    <wne:acd wne:argValue="RABTAEUAXwBDAG8AdgBlAHIANABHAHkA" wne:acdName="acd27" wne:fciIndexBasedOn="0211"/>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7C62" w:rsidRDefault="00A27C62">
      <w:r>
        <w:separator/>
      </w:r>
    </w:p>
  </w:endnote>
  <w:endnote w:type="continuationSeparator" w:id="0">
    <w:p w:rsidR="00A27C62" w:rsidRDefault="00A27C62">
      <w:r>
        <w:continuationSeparator/>
      </w:r>
    </w:p>
  </w:endnote>
  <w:endnote w:id="1">
    <w:p w:rsidR="00986A02" w:rsidRPr="00760877" w:rsidRDefault="00986A02" w:rsidP="00071F0C">
      <w:pPr>
        <w:pStyle w:val="DSEHA"/>
      </w:pPr>
      <w:r>
        <w:t>References</w:t>
      </w:r>
    </w:p>
    <w:p w:rsidR="00986A02" w:rsidRPr="00CF4452" w:rsidRDefault="00986A02" w:rsidP="00902B92">
      <w:pPr>
        <w:pStyle w:val="DSEBody"/>
        <w:rPr>
          <w:lang w:val="en-US"/>
        </w:rPr>
      </w:pPr>
      <w:r>
        <w:rPr>
          <w:rStyle w:val="EndnoteReference"/>
        </w:rPr>
        <w:endnoteRef/>
      </w:r>
      <w:r>
        <w:t xml:space="preserve"> </w:t>
      </w:r>
      <w:r w:rsidRPr="00071F0C">
        <w:rPr>
          <w:lang w:val="en-US"/>
        </w:rPr>
        <w:t>United Nations Statistical Division</w:t>
      </w:r>
      <w:r>
        <w:rPr>
          <w:lang w:val="en-US"/>
        </w:rPr>
        <w:t xml:space="preserve"> (</w:t>
      </w:r>
      <w:r w:rsidRPr="00071F0C">
        <w:rPr>
          <w:lang w:val="en-US"/>
        </w:rPr>
        <w:t>2013</w:t>
      </w:r>
      <w:r>
        <w:rPr>
          <w:lang w:val="en-US"/>
        </w:rPr>
        <w:t xml:space="preserve">). </w:t>
      </w:r>
      <w:r w:rsidRPr="00CF4452">
        <w:rPr>
          <w:i/>
          <w:lang w:val="en-US"/>
        </w:rPr>
        <w:t>System of Environmental-Economic Accounting: Experimental Ecosystem Accounting</w:t>
      </w:r>
      <w:r>
        <w:rPr>
          <w:lang w:val="en-US"/>
        </w:rPr>
        <w:t xml:space="preserve"> (Consultation Draft),</w:t>
      </w:r>
      <w:r w:rsidRPr="00071F0C">
        <w:rPr>
          <w:lang w:val="en-US"/>
        </w:rPr>
        <w:t xml:space="preserve"> </w:t>
      </w:r>
      <w:r>
        <w:rPr>
          <w:lang w:val="en-US"/>
        </w:rPr>
        <w:t xml:space="preserve">paragraph 1.27.  Retrieved March 2013, from  </w:t>
      </w:r>
      <w:hyperlink r:id="rId1" w:history="1">
        <w:r w:rsidRPr="00BD49B9">
          <w:rPr>
            <w:rStyle w:val="Hyperlink"/>
            <w:lang w:val="en-US"/>
          </w:rPr>
          <w:t>http://unstats.un.org/unsd/envaccounting/seearev/Chapters/SEEA_EEA_v1.pdf</w:t>
        </w:r>
      </w:hyperlink>
    </w:p>
  </w:endnote>
  <w:endnote w:id="2">
    <w:p w:rsidR="00986A02" w:rsidRPr="00071F0C" w:rsidRDefault="00986A02" w:rsidP="00902B92">
      <w:pPr>
        <w:pStyle w:val="DSEBody"/>
        <w:rPr>
          <w:lang w:val="en-US"/>
        </w:rPr>
      </w:pPr>
      <w:r>
        <w:rPr>
          <w:rStyle w:val="EndnoteReference"/>
        </w:rPr>
        <w:endnoteRef/>
      </w:r>
      <w:r>
        <w:t xml:space="preserve"> </w:t>
      </w:r>
      <w:r w:rsidRPr="00071F0C">
        <w:rPr>
          <w:lang w:val="en-US"/>
        </w:rPr>
        <w:t xml:space="preserve">United Nations, European Commission, Food and Agriculture </w:t>
      </w:r>
      <w:proofErr w:type="spellStart"/>
      <w:r w:rsidRPr="00071F0C">
        <w:rPr>
          <w:lang w:val="en-US"/>
        </w:rPr>
        <w:t>Organisation</w:t>
      </w:r>
      <w:proofErr w:type="spellEnd"/>
      <w:r w:rsidRPr="00071F0C">
        <w:rPr>
          <w:lang w:val="en-US"/>
        </w:rPr>
        <w:t xml:space="preserve">, International Monetary Fund, </w:t>
      </w:r>
      <w:proofErr w:type="spellStart"/>
      <w:r w:rsidRPr="00071F0C">
        <w:rPr>
          <w:lang w:val="en-US"/>
        </w:rPr>
        <w:t>Organisation</w:t>
      </w:r>
      <w:proofErr w:type="spellEnd"/>
      <w:r w:rsidRPr="00071F0C">
        <w:rPr>
          <w:lang w:val="en-US"/>
        </w:rPr>
        <w:t xml:space="preserve"> of Economic Co-operation and Development, World Bank (2012)</w:t>
      </w:r>
      <w:r>
        <w:rPr>
          <w:lang w:val="en-US"/>
        </w:rPr>
        <w:t>.</w:t>
      </w:r>
      <w:r w:rsidRPr="00071F0C">
        <w:rPr>
          <w:lang w:val="en-US"/>
        </w:rPr>
        <w:t xml:space="preserve"> </w:t>
      </w:r>
      <w:r w:rsidRPr="00CE523C">
        <w:rPr>
          <w:i/>
          <w:lang w:val="en-US"/>
        </w:rPr>
        <w:t xml:space="preserve">System of Environmental-Economic Accounting: Central Framework </w:t>
      </w:r>
      <w:r w:rsidRPr="00175441">
        <w:rPr>
          <w:lang w:val="en-US"/>
        </w:rPr>
        <w:t>(white cover publication, pre-edited text subject to official editing)</w:t>
      </w:r>
      <w:r>
        <w:rPr>
          <w:lang w:val="en-US"/>
        </w:rPr>
        <w:t>, paragraph 5.8.</w:t>
      </w:r>
      <w:r w:rsidRPr="00071F0C">
        <w:rPr>
          <w:lang w:val="en-US"/>
        </w:rPr>
        <w:t xml:space="preserve"> United Nations Statistical Division, New York</w:t>
      </w:r>
      <w:r>
        <w:rPr>
          <w:lang w:val="en-US"/>
        </w:rPr>
        <w:t xml:space="preserve">.  Retrieved </w:t>
      </w:r>
      <w:r>
        <w:t>February</w:t>
      </w:r>
      <w:r w:rsidRPr="00FC3251">
        <w:t xml:space="preserve"> </w:t>
      </w:r>
      <w:r>
        <w:rPr>
          <w:lang w:val="en-US"/>
        </w:rPr>
        <w:t xml:space="preserve">2013, from </w:t>
      </w:r>
      <w:hyperlink r:id="rId2" w:history="1">
        <w:r w:rsidRPr="00BD49B9">
          <w:rPr>
            <w:rStyle w:val="Hyperlink"/>
            <w:lang w:val="en-US"/>
          </w:rPr>
          <w:t>http://unstats.un.org/unsd/envaccounting/White_cover.pdf</w:t>
        </w:r>
      </w:hyperlink>
    </w:p>
  </w:endnote>
  <w:endnote w:id="3">
    <w:p w:rsidR="00986A02" w:rsidRDefault="00986A02" w:rsidP="00902B92">
      <w:pPr>
        <w:pStyle w:val="DSEBody"/>
      </w:pPr>
      <w:r>
        <w:rPr>
          <w:rStyle w:val="EndnoteReference"/>
        </w:rPr>
        <w:endnoteRef/>
      </w:r>
      <w:r>
        <w:rPr>
          <w:i/>
          <w:lang w:val="en-US"/>
        </w:rPr>
        <w:t xml:space="preserve"> Ibid.</w:t>
      </w:r>
      <w:r>
        <w:rPr>
          <w:lang w:val="en-US"/>
        </w:rPr>
        <w:t xml:space="preserve">, </w:t>
      </w:r>
      <w:r>
        <w:t>table 5.2.1.</w:t>
      </w:r>
    </w:p>
  </w:endnote>
  <w:endnote w:id="4">
    <w:p w:rsidR="00986A02" w:rsidRPr="00902B92" w:rsidRDefault="00986A02" w:rsidP="00902B92">
      <w:pPr>
        <w:pStyle w:val="DSEBody"/>
        <w:rPr>
          <w:lang w:val="en-US"/>
        </w:rPr>
      </w:pPr>
      <w:r>
        <w:rPr>
          <w:rStyle w:val="EndnoteReference"/>
        </w:rPr>
        <w:endnoteRef/>
      </w:r>
      <w:r>
        <w:t xml:space="preserve"> </w:t>
      </w:r>
      <w:r w:rsidRPr="00071F0C">
        <w:rPr>
          <w:lang w:val="en-US"/>
        </w:rPr>
        <w:t>United Nations Statistical Division</w:t>
      </w:r>
      <w:r>
        <w:rPr>
          <w:lang w:val="en-US"/>
        </w:rPr>
        <w:t xml:space="preserve"> (</w:t>
      </w:r>
      <w:r w:rsidRPr="00071F0C">
        <w:rPr>
          <w:lang w:val="en-US"/>
        </w:rPr>
        <w:t>2013</w:t>
      </w:r>
      <w:r>
        <w:rPr>
          <w:lang w:val="en-US"/>
        </w:rPr>
        <w:t xml:space="preserve">), </w:t>
      </w:r>
      <w:r>
        <w:rPr>
          <w:i/>
          <w:lang w:val="en-US"/>
        </w:rPr>
        <w:t xml:space="preserve">op. cit., </w:t>
      </w:r>
      <w:r>
        <w:rPr>
          <w:lang w:val="en-US"/>
        </w:rPr>
        <w:t>paragraph 1.35.</w:t>
      </w:r>
    </w:p>
  </w:endnote>
  <w:endnote w:id="5">
    <w:p w:rsidR="00986A02" w:rsidRPr="00902B92" w:rsidRDefault="00986A02" w:rsidP="00902B92">
      <w:pPr>
        <w:pStyle w:val="DSEBody"/>
        <w:rPr>
          <w:lang w:val="en-US"/>
        </w:rPr>
      </w:pPr>
      <w:r>
        <w:rPr>
          <w:rStyle w:val="EndnoteReference"/>
        </w:rPr>
        <w:endnoteRef/>
      </w:r>
      <w:r>
        <w:rPr>
          <w:lang w:val="en-US"/>
        </w:rPr>
        <w:t xml:space="preserve"> </w:t>
      </w:r>
      <w:r>
        <w:rPr>
          <w:i/>
          <w:lang w:val="en-US"/>
        </w:rPr>
        <w:t>Ibid.</w:t>
      </w:r>
      <w:r>
        <w:rPr>
          <w:lang w:val="en-US"/>
        </w:rPr>
        <w:t>, paragraph 4.1.</w:t>
      </w:r>
    </w:p>
  </w:endnote>
  <w:endnote w:id="6">
    <w:p w:rsidR="00986A02" w:rsidRPr="00041C1E" w:rsidRDefault="00986A02" w:rsidP="00902B92">
      <w:pPr>
        <w:pStyle w:val="DSEBody"/>
      </w:pPr>
      <w:r>
        <w:rPr>
          <w:rStyle w:val="EndnoteReference"/>
        </w:rPr>
        <w:endnoteRef/>
      </w:r>
      <w:r>
        <w:t xml:space="preserve"> Eigenraam, M., Chua, J. &amp; Hasker, J. (2012).  Land and ecosystem services: measurement and accounting in practice.  Paper presented at the </w:t>
      </w:r>
      <w:r>
        <w:rPr>
          <w:i/>
        </w:rPr>
        <w:t>11</w:t>
      </w:r>
      <w:r w:rsidRPr="00041C1E">
        <w:rPr>
          <w:i/>
          <w:vertAlign w:val="superscript"/>
        </w:rPr>
        <w:t>th</w:t>
      </w:r>
      <w:r>
        <w:rPr>
          <w:i/>
        </w:rPr>
        <w:t xml:space="preserve"> Meeting of the London Group on Environmental Accounting</w:t>
      </w:r>
      <w:r>
        <w:t>.  Ottawa, Canada.  Retrieved February</w:t>
      </w:r>
      <w:r w:rsidRPr="00FC3251">
        <w:t xml:space="preserve"> </w:t>
      </w:r>
      <w:r>
        <w:t xml:space="preserve">2013, from </w:t>
      </w:r>
      <w:hyperlink r:id="rId3" w:history="1">
        <w:r w:rsidRPr="00BD49B9">
          <w:rPr>
            <w:rStyle w:val="Hyperlink"/>
          </w:rPr>
          <w:t>http://unstats.un.org/unsd/envaccounting/londongroup/meeting18/LG18_12.pdf</w:t>
        </w:r>
      </w:hyperlink>
    </w:p>
  </w:endnote>
  <w:endnote w:id="7">
    <w:p w:rsidR="00986A02" w:rsidRPr="00902B92" w:rsidRDefault="00986A02" w:rsidP="00902B92">
      <w:pPr>
        <w:pStyle w:val="DSEBody"/>
        <w:rPr>
          <w:lang w:val="en-US"/>
        </w:rPr>
      </w:pPr>
      <w:r>
        <w:rPr>
          <w:rStyle w:val="EndnoteReference"/>
        </w:rPr>
        <w:endnoteRef/>
      </w:r>
      <w:r>
        <w:t xml:space="preserve"> </w:t>
      </w:r>
      <w:r w:rsidRPr="00071F0C">
        <w:rPr>
          <w:lang w:val="en-US"/>
        </w:rPr>
        <w:t>United Nations Statistical Division</w:t>
      </w:r>
      <w:r>
        <w:rPr>
          <w:lang w:val="en-US"/>
        </w:rPr>
        <w:t xml:space="preserve"> (</w:t>
      </w:r>
      <w:r w:rsidRPr="00071F0C">
        <w:rPr>
          <w:lang w:val="en-US"/>
        </w:rPr>
        <w:t>2013</w:t>
      </w:r>
      <w:r>
        <w:rPr>
          <w:lang w:val="en-US"/>
        </w:rPr>
        <w:t xml:space="preserve">), </w:t>
      </w:r>
      <w:r>
        <w:rPr>
          <w:i/>
          <w:lang w:val="en-US"/>
        </w:rPr>
        <w:t>op. cit.</w:t>
      </w:r>
      <w:r>
        <w:rPr>
          <w:lang w:val="en-US"/>
        </w:rPr>
        <w:t>, paragraph 2.16.</w:t>
      </w:r>
    </w:p>
  </w:endnote>
  <w:endnote w:id="8">
    <w:p w:rsidR="00986A02" w:rsidRPr="00902B92" w:rsidRDefault="00986A02" w:rsidP="00902B92">
      <w:pPr>
        <w:pStyle w:val="DSEBody"/>
        <w:rPr>
          <w:lang w:val="en-US"/>
        </w:rPr>
      </w:pPr>
      <w:r>
        <w:rPr>
          <w:rStyle w:val="EndnoteReference"/>
        </w:rPr>
        <w:endnoteRef/>
      </w:r>
      <w:r>
        <w:t xml:space="preserve"> </w:t>
      </w:r>
      <w:r w:rsidRPr="00071F0C">
        <w:rPr>
          <w:lang w:val="en-US"/>
        </w:rPr>
        <w:t>United Nations Statistical Division</w:t>
      </w:r>
      <w:r>
        <w:rPr>
          <w:lang w:val="en-US"/>
        </w:rPr>
        <w:t xml:space="preserve"> (</w:t>
      </w:r>
      <w:r w:rsidRPr="00071F0C">
        <w:rPr>
          <w:lang w:val="en-US"/>
        </w:rPr>
        <w:t>2013</w:t>
      </w:r>
      <w:r>
        <w:rPr>
          <w:lang w:val="en-US"/>
        </w:rPr>
        <w:t xml:space="preserve">), </w:t>
      </w:r>
      <w:r>
        <w:rPr>
          <w:i/>
          <w:lang w:val="en-US"/>
        </w:rPr>
        <w:t>op. cit.</w:t>
      </w:r>
      <w:r>
        <w:rPr>
          <w:lang w:val="en-US"/>
        </w:rPr>
        <w:t>, paragraphs 2.23 and 2.25.</w:t>
      </w:r>
    </w:p>
  </w:endnote>
  <w:endnote w:id="9">
    <w:p w:rsidR="00986A02" w:rsidRDefault="00986A02" w:rsidP="00902B92">
      <w:pPr>
        <w:pStyle w:val="DSEBody"/>
      </w:pPr>
      <w:r>
        <w:rPr>
          <w:rStyle w:val="EndnoteReference"/>
        </w:rPr>
        <w:endnoteRef/>
      </w:r>
      <w:r>
        <w:t xml:space="preserve"> </w:t>
      </w:r>
      <w:r w:rsidRPr="00E93123">
        <w:t xml:space="preserve">Haines-Young R. and </w:t>
      </w:r>
      <w:proofErr w:type="spellStart"/>
      <w:r w:rsidRPr="00E93123">
        <w:t>Potschin</w:t>
      </w:r>
      <w:proofErr w:type="spellEnd"/>
      <w:r w:rsidRPr="00E93123">
        <w:t xml:space="preserve"> M. (2011)</w:t>
      </w:r>
      <w:r>
        <w:t>.</w:t>
      </w:r>
      <w:r w:rsidRPr="00E93123">
        <w:t xml:space="preserve"> </w:t>
      </w:r>
      <w:r w:rsidRPr="00F757BB">
        <w:t>Common International Classification of Ecosystem Services (CICES): 2011 Update</w:t>
      </w:r>
      <w:r w:rsidRPr="00E93123">
        <w:t>.</w:t>
      </w:r>
      <w:r>
        <w:t xml:space="preserve"> Paper presented at the</w:t>
      </w:r>
      <w:r w:rsidRPr="00E93123">
        <w:t xml:space="preserve"> </w:t>
      </w:r>
      <w:r w:rsidRPr="00F757BB">
        <w:rPr>
          <w:i/>
        </w:rPr>
        <w:t>London meeting on SEEA experimental ecosystem accounts</w:t>
      </w:r>
      <w:r w:rsidRPr="00E93123">
        <w:t>.</w:t>
      </w:r>
      <w:r>
        <w:t xml:space="preserve">  </w:t>
      </w:r>
      <w:r w:rsidRPr="00E93123">
        <w:t xml:space="preserve">European Environmental Agency. </w:t>
      </w:r>
    </w:p>
  </w:endnote>
  <w:endnote w:id="10">
    <w:p w:rsidR="00986A02" w:rsidRDefault="00986A02" w:rsidP="00902B92">
      <w:pPr>
        <w:pStyle w:val="DSEBody"/>
      </w:pPr>
      <w:r>
        <w:rPr>
          <w:rStyle w:val="EndnoteReference"/>
        </w:rPr>
        <w:endnoteRef/>
      </w:r>
      <w:r>
        <w:t xml:space="preserve"> Millennium Ecosystem Assessment (2005). </w:t>
      </w:r>
      <w:r w:rsidRPr="0028536F">
        <w:rPr>
          <w:i/>
        </w:rPr>
        <w:t>Ecosystems and human well-being: current state and trends</w:t>
      </w:r>
      <w:r>
        <w:t>. Island Press, Washington, DC.</w:t>
      </w:r>
    </w:p>
  </w:endnote>
  <w:endnote w:id="11">
    <w:p w:rsidR="00986A02" w:rsidRDefault="00986A02" w:rsidP="00902B92">
      <w:pPr>
        <w:pStyle w:val="DSEBody"/>
      </w:pPr>
      <w:r>
        <w:rPr>
          <w:rStyle w:val="EndnoteReference"/>
        </w:rPr>
        <w:endnoteRef/>
      </w:r>
      <w:r>
        <w:t xml:space="preserve"> </w:t>
      </w:r>
      <w:r w:rsidRPr="00E93123">
        <w:t>The Economics of Ecosystems and Biodiversity</w:t>
      </w:r>
      <w:r>
        <w:t xml:space="preserve"> (</w:t>
      </w:r>
      <w:r w:rsidRPr="00E93123">
        <w:t>2010</w:t>
      </w:r>
      <w:r>
        <w:t>)</w:t>
      </w:r>
      <w:r w:rsidRPr="00E93123">
        <w:t xml:space="preserve">. Ecosystem valuation, a sequential decision support system and quality assessment issues. </w:t>
      </w:r>
      <w:r w:rsidRPr="00712A0D">
        <w:rPr>
          <w:i/>
        </w:rPr>
        <w:t>Annals of the New York Academy of Sciences</w:t>
      </w:r>
      <w:r>
        <w:t xml:space="preserve"> 1185, </w:t>
      </w:r>
      <w:r w:rsidRPr="00E93123">
        <w:t>79-101.</w:t>
      </w:r>
    </w:p>
  </w:endnote>
  <w:endnote w:id="12">
    <w:p w:rsidR="00986A02" w:rsidRDefault="00986A02" w:rsidP="00902B92">
      <w:pPr>
        <w:pStyle w:val="DSEBody"/>
      </w:pPr>
      <w:r>
        <w:rPr>
          <w:rStyle w:val="EndnoteReference"/>
        </w:rPr>
        <w:endnoteRef/>
      </w:r>
      <w:r>
        <w:t xml:space="preserve"> Department of the Environment and Water Resources (2007).</w:t>
      </w:r>
      <w:r>
        <w:rPr>
          <w:i/>
        </w:rPr>
        <w:t xml:space="preserve"> </w:t>
      </w:r>
      <w:r w:rsidRPr="00037576">
        <w:rPr>
          <w:i/>
        </w:rPr>
        <w:t xml:space="preserve"> </w:t>
      </w:r>
      <w:r w:rsidRPr="00160605">
        <w:rPr>
          <w:i/>
        </w:rPr>
        <w:t>Australia’s Native Vegetation: A summary of Australia’s Major Vegetation Groups, 2007</w:t>
      </w:r>
      <w:r>
        <w:t>.  Australian Government, Canberra, ACT.  Retrieved February</w:t>
      </w:r>
      <w:r w:rsidRPr="00FC3251">
        <w:t xml:space="preserve"> </w:t>
      </w:r>
      <w:r>
        <w:t xml:space="preserve">2013, from </w:t>
      </w:r>
      <w:hyperlink r:id="rId4" w:history="1">
        <w:r w:rsidRPr="00803352">
          <w:rPr>
            <w:rStyle w:val="Hyperlink"/>
          </w:rPr>
          <w:t>http://www.environment.gov.au/erin/nvis/publications/pubs/major-veg-summary.pdf</w:t>
        </w:r>
      </w:hyperlink>
    </w:p>
  </w:endnote>
  <w:endnote w:id="13">
    <w:p w:rsidR="00986A02" w:rsidRDefault="00986A02" w:rsidP="00902B92">
      <w:pPr>
        <w:pStyle w:val="DSEBody"/>
      </w:pPr>
      <w:r>
        <w:rPr>
          <w:rStyle w:val="EndnoteReference"/>
        </w:rPr>
        <w:endnoteRef/>
      </w:r>
      <w:r>
        <w:t xml:space="preserve"> Executive Steering Committee for Australian Vegetation Information (ESCAVI) (2003).</w:t>
      </w:r>
      <w:r w:rsidRPr="00902B92">
        <w:t xml:space="preserve"> </w:t>
      </w:r>
      <w:r w:rsidRPr="002A26C6">
        <w:rPr>
          <w:i/>
        </w:rPr>
        <w:t xml:space="preserve">Australian Vegetation Attribute Manual: National Vegetation Information </w:t>
      </w:r>
      <w:proofErr w:type="spellStart"/>
      <w:r w:rsidRPr="002A26C6">
        <w:rPr>
          <w:i/>
        </w:rPr>
        <w:t>System,Version</w:t>
      </w:r>
      <w:proofErr w:type="spellEnd"/>
      <w:r w:rsidRPr="002A26C6">
        <w:rPr>
          <w:i/>
        </w:rPr>
        <w:t xml:space="preserve"> 6.0</w:t>
      </w:r>
      <w:r w:rsidRPr="00902B92">
        <w:t xml:space="preserve">.  </w:t>
      </w:r>
      <w:r>
        <w:t>Department of the Environment and Heritage, Canberra, ACT. Retrieved February</w:t>
      </w:r>
      <w:r w:rsidRPr="00FC3251">
        <w:t xml:space="preserve"> </w:t>
      </w:r>
      <w:r>
        <w:t xml:space="preserve">2013, from </w:t>
      </w:r>
      <w:hyperlink r:id="rId5" w:history="1">
        <w:r w:rsidRPr="00EA0F2A">
          <w:rPr>
            <w:rStyle w:val="Hyperlink"/>
          </w:rPr>
          <w:t>http://www.environment.gov.au/erin/nvis/publications/avam/index.html</w:t>
        </w:r>
      </w:hyperlink>
    </w:p>
  </w:endnote>
  <w:endnote w:id="14">
    <w:p w:rsidR="00986A02" w:rsidRDefault="00986A02" w:rsidP="00902B92">
      <w:pPr>
        <w:pStyle w:val="DSEBody"/>
      </w:pPr>
      <w:r>
        <w:rPr>
          <w:rStyle w:val="EndnoteReference"/>
        </w:rPr>
        <w:endnoteRef/>
      </w:r>
      <w:r>
        <w:t xml:space="preserve"> Department of the Environment and Water Resources (2012). </w:t>
      </w:r>
      <w:r w:rsidRPr="00037576">
        <w:rPr>
          <w:i/>
        </w:rPr>
        <w:t xml:space="preserve"> </w:t>
      </w:r>
      <w:r w:rsidRPr="002A26C6">
        <w:rPr>
          <w:i/>
        </w:rPr>
        <w:t>National Vegetation Information System, Version 4.1</w:t>
      </w:r>
      <w:r>
        <w:rPr>
          <w:i/>
        </w:rPr>
        <w:t xml:space="preserve">.  </w:t>
      </w:r>
      <w:r>
        <w:t>Australian Government, Canberra, ACT.  Retrieved  February</w:t>
      </w:r>
      <w:r w:rsidRPr="00FC3251">
        <w:t xml:space="preserve"> </w:t>
      </w:r>
      <w:r>
        <w:t xml:space="preserve">2013, from </w:t>
      </w:r>
      <w:hyperlink r:id="rId6" w:history="1">
        <w:r w:rsidRPr="00EA0F2A">
          <w:rPr>
            <w:rStyle w:val="Hyperlink"/>
          </w:rPr>
          <w:t>http://www.environment.gov.au/erin/nvis/mvg/index.html#mvg41</w:t>
        </w:r>
      </w:hyperlink>
    </w:p>
  </w:endnote>
  <w:endnote w:id="15">
    <w:p w:rsidR="00986A02" w:rsidRDefault="00986A02" w:rsidP="00902B92">
      <w:pPr>
        <w:pStyle w:val="DSEBody"/>
      </w:pPr>
      <w:r>
        <w:rPr>
          <w:rStyle w:val="EndnoteReference"/>
        </w:rPr>
        <w:endnoteRef/>
      </w:r>
      <w:r>
        <w:t xml:space="preserve"> Department of Sustainability and Environment (2007). </w:t>
      </w:r>
      <w:r w:rsidRPr="00902B92">
        <w:t xml:space="preserve"> </w:t>
      </w:r>
      <w:r w:rsidRPr="005B4282">
        <w:rPr>
          <w:i/>
        </w:rPr>
        <w:t>Ecological Vegetation Classes (EVC)</w:t>
      </w:r>
      <w:r>
        <w:t>.  State of Victoria.  Retrieved February</w:t>
      </w:r>
      <w:r w:rsidRPr="00FC3251">
        <w:t xml:space="preserve"> </w:t>
      </w:r>
      <w:r>
        <w:t xml:space="preserve">2013, from  </w:t>
      </w:r>
      <w:hyperlink r:id="rId7" w:history="1">
        <w:r w:rsidRPr="00895495">
          <w:rPr>
            <w:rStyle w:val="Hyperlink"/>
          </w:rPr>
          <w:t>http://www.dse.vic.gov.au/conservation-and-environment/native-vegetation-groups-for-victoria/ecological-vegetation-classes-evc</w:t>
        </w:r>
      </w:hyperlink>
    </w:p>
  </w:endnote>
  <w:endnote w:id="16">
    <w:p w:rsidR="000C26C9" w:rsidRDefault="000C26C9" w:rsidP="000C26C9">
      <w:pPr>
        <w:pStyle w:val="DSEBody"/>
      </w:pPr>
      <w:r>
        <w:rPr>
          <w:rStyle w:val="EndnoteReference"/>
        </w:rPr>
        <w:endnoteRef/>
      </w:r>
      <w:r>
        <w:t xml:space="preserve"> </w:t>
      </w:r>
      <w:proofErr w:type="spellStart"/>
      <w:r>
        <w:t>Parkes</w:t>
      </w:r>
      <w:proofErr w:type="spellEnd"/>
      <w:r>
        <w:t xml:space="preserve"> </w:t>
      </w:r>
      <w:r w:rsidRPr="00DC5AF8">
        <w:rPr>
          <w:i/>
        </w:rPr>
        <w:t>et al</w:t>
      </w:r>
      <w:r>
        <w:t xml:space="preserve"> (2003). </w:t>
      </w:r>
      <w:r w:rsidRPr="006F25E7">
        <w:t>Assessing the quality of native vegetation: The ‘habitat hectares’ approach</w:t>
      </w:r>
      <w:r w:rsidRPr="00173EE8">
        <w:rPr>
          <w:i/>
        </w:rPr>
        <w:t>. Ecological Management &amp; Restoration</w:t>
      </w:r>
      <w:r w:rsidRPr="00902B92">
        <w:t xml:space="preserve"> </w:t>
      </w:r>
      <w:r>
        <w:t xml:space="preserve">4, </w:t>
      </w:r>
      <w:r w:rsidRPr="006F25E7">
        <w:t>S29-S38</w:t>
      </w:r>
      <w:r>
        <w:t>.  Retrieved February</w:t>
      </w:r>
      <w:r w:rsidRPr="00FC3251">
        <w:t xml:space="preserve"> </w:t>
      </w:r>
      <w:r>
        <w:t xml:space="preserve">2013, from </w:t>
      </w:r>
      <w:hyperlink r:id="rId8" w:history="1">
        <w:r w:rsidRPr="005A58D8">
          <w:rPr>
            <w:rStyle w:val="Hyperlink"/>
          </w:rPr>
          <w:t>http://www.environment.gov.au/archive/biodiversity/toolbox/templates/pubs/habitat-hectares.pdf</w:t>
        </w:r>
      </w:hyperlink>
    </w:p>
  </w:endnote>
  <w:endnote w:id="17">
    <w:p w:rsidR="000C26C9" w:rsidRDefault="000C26C9" w:rsidP="000C26C9">
      <w:pPr>
        <w:pStyle w:val="DSEBody"/>
      </w:pPr>
      <w:r>
        <w:rPr>
          <w:rStyle w:val="EndnoteReference"/>
        </w:rPr>
        <w:endnoteRef/>
      </w:r>
      <w:r>
        <w:t xml:space="preserve"> Australian Bureau of Statistics (2012). </w:t>
      </w:r>
      <w:r w:rsidRPr="002073BC">
        <w:rPr>
          <w:i/>
        </w:rPr>
        <w:t>Land Account: Victoria, Experimental Estimates, 2012</w:t>
      </w:r>
      <w:r w:rsidRPr="00902B92">
        <w:t>.</w:t>
      </w:r>
      <w:r>
        <w:t xml:space="preserve">  Australian Government, Canberra, ACT.  Retrieved February</w:t>
      </w:r>
      <w:r w:rsidRPr="00FC3251">
        <w:t xml:space="preserve"> </w:t>
      </w:r>
      <w:r>
        <w:t xml:space="preserve">2013, from </w:t>
      </w:r>
      <w:hyperlink r:id="rId9" w:history="1">
        <w:r w:rsidRPr="00744EED">
          <w:rPr>
            <w:rStyle w:val="Hyperlink"/>
          </w:rPr>
          <w:t>http://www.abs.gov.au/ausstats/abs@.nsf/mf/4609.0.55.002</w:t>
        </w:r>
      </w:hyperlink>
    </w:p>
  </w:endnote>
  <w:endnote w:id="18">
    <w:p w:rsidR="00986A02" w:rsidRDefault="00986A02" w:rsidP="00902B92">
      <w:pPr>
        <w:pStyle w:val="DSEBody"/>
      </w:pPr>
      <w:r>
        <w:rPr>
          <w:rStyle w:val="EndnoteReference"/>
        </w:rPr>
        <w:endnoteRef/>
      </w:r>
      <w:r>
        <w:t xml:space="preserve"> Wentworth Group of Concerned Scientists (2008). </w:t>
      </w:r>
      <w:r w:rsidRPr="003911E0">
        <w:rPr>
          <w:i/>
        </w:rPr>
        <w:t>Accounting for Nature: A Model for Building the National Environmental Accounts of Australia</w:t>
      </w:r>
      <w:r>
        <w:t>. Retrieved February</w:t>
      </w:r>
      <w:r w:rsidRPr="00FC3251">
        <w:t xml:space="preserve"> </w:t>
      </w:r>
      <w:r>
        <w:t xml:space="preserve">2013, from </w:t>
      </w:r>
      <w:hyperlink r:id="rId10" w:history="1">
        <w:r w:rsidRPr="00933FE8">
          <w:rPr>
            <w:rStyle w:val="Hyperlink"/>
          </w:rPr>
          <w:t>http://www.wentworthgroup.org/blueprints/accounting-for-nature</w:t>
        </w:r>
      </w:hyperlink>
    </w:p>
  </w:endnote>
  <w:endnote w:id="19">
    <w:p w:rsidR="00986A02" w:rsidRDefault="00986A02" w:rsidP="00902B92">
      <w:pPr>
        <w:pStyle w:val="DSEBody"/>
      </w:pPr>
      <w:r>
        <w:rPr>
          <w:rStyle w:val="EndnoteReference"/>
        </w:rPr>
        <w:endnoteRef/>
      </w:r>
      <w:r>
        <w:t xml:space="preserve"> </w:t>
      </w:r>
      <w:r w:rsidRPr="00A647D5">
        <w:t>Department of Sustainability, Environment, Water, Populations and Communities</w:t>
      </w:r>
      <w:r>
        <w:t xml:space="preserve"> (2012).</w:t>
      </w:r>
      <w:r w:rsidRPr="00570654">
        <w:rPr>
          <w:i/>
        </w:rPr>
        <w:t xml:space="preserve"> Australia’s Bioregions (IBRA).  </w:t>
      </w:r>
      <w:r>
        <w:t>Australian Government, Canberra, ACT.  Retrieved  February</w:t>
      </w:r>
      <w:r w:rsidRPr="00FC3251">
        <w:t xml:space="preserve"> </w:t>
      </w:r>
      <w:r>
        <w:t xml:space="preserve">2013, from  </w:t>
      </w:r>
      <w:hyperlink r:id="rId11" w:history="1">
        <w:r w:rsidRPr="001D4C4F">
          <w:rPr>
            <w:rStyle w:val="Hyperlink"/>
          </w:rPr>
          <w:t>http://www.environment.gov.au/parks/nrs/science/bioregion-framework/ibra/index.html</w:t>
        </w:r>
      </w:hyperlink>
    </w:p>
  </w:endnote>
  <w:endnote w:id="20">
    <w:p w:rsidR="00986A02" w:rsidRDefault="00986A02" w:rsidP="00902B92">
      <w:pPr>
        <w:pStyle w:val="DSEBody"/>
      </w:pPr>
      <w:r w:rsidRPr="00FC3251">
        <w:rPr>
          <w:rStyle w:val="EndnoteReference"/>
        </w:rPr>
        <w:endnoteRef/>
      </w:r>
      <w:r w:rsidRPr="00FC3251">
        <w:t xml:space="preserve"> Australian Bureau of Statistics (2011</w:t>
      </w:r>
      <w:r w:rsidRPr="00570654">
        <w:rPr>
          <w:i/>
        </w:rPr>
        <w:t>). Australia Statistical Geography Standard (ASGS)</w:t>
      </w:r>
      <w:r w:rsidRPr="00902B92">
        <w:t xml:space="preserve">. </w:t>
      </w:r>
      <w:r w:rsidRPr="00FC3251">
        <w:t xml:space="preserve"> Australian Government, Canberra, ACT. Retrieved </w:t>
      </w:r>
      <w:r>
        <w:t xml:space="preserve"> February</w:t>
      </w:r>
      <w:r w:rsidRPr="00FC3251">
        <w:t xml:space="preserve"> 2013, from </w:t>
      </w:r>
      <w:hyperlink r:id="rId12" w:history="1">
        <w:r w:rsidRPr="00FC3251">
          <w:rPr>
            <w:rStyle w:val="Hyperlink"/>
          </w:rPr>
          <w:t>http://www.abs.gov.au/websitedbs/d3310114.nsf/home/australian+statistical+geography+standard+%28asgs%29</w:t>
        </w:r>
      </w:hyperlink>
    </w:p>
  </w:endnote>
  <w:endnote w:id="21">
    <w:p w:rsidR="00986A02" w:rsidRDefault="00986A02" w:rsidP="00902B92">
      <w:pPr>
        <w:pStyle w:val="DSEBody"/>
      </w:pPr>
      <w:r>
        <w:rPr>
          <w:rStyle w:val="EndnoteReference"/>
        </w:rPr>
        <w:endnoteRef/>
      </w:r>
      <w:r>
        <w:t xml:space="preserve"> Department of Sustainability and Environment (2012).</w:t>
      </w:r>
      <w:r w:rsidRPr="00902B92">
        <w:t xml:space="preserve"> </w:t>
      </w:r>
      <w:r w:rsidRPr="009D648F">
        <w:rPr>
          <w:i/>
        </w:rPr>
        <w:t>Index of Wetland Condition</w:t>
      </w:r>
      <w:r>
        <w:t xml:space="preserve">.  State of Victoria.  Retrieved Dec 2012, from </w:t>
      </w:r>
      <w:hyperlink r:id="rId13" w:history="1">
        <w:r w:rsidRPr="00453E78">
          <w:rPr>
            <w:rStyle w:val="Hyperlink"/>
          </w:rPr>
          <w:t>http://www.dse.vic.gov.au/conservation-and-environment/biodiversity/wetlands/index-of-wetland-condition</w:t>
        </w:r>
      </w:hyperlink>
    </w:p>
  </w:endnote>
  <w:endnote w:id="22">
    <w:p w:rsidR="00986A02" w:rsidRDefault="00986A02" w:rsidP="00902B92">
      <w:pPr>
        <w:pStyle w:val="DSEBody"/>
      </w:pPr>
      <w:r>
        <w:rPr>
          <w:rStyle w:val="EndnoteReference"/>
        </w:rPr>
        <w:endnoteRef/>
      </w:r>
      <w:r>
        <w:t xml:space="preserve"> Department of Sustainability and Environment (2004), </w:t>
      </w:r>
      <w:r w:rsidRPr="009D648F">
        <w:rPr>
          <w:i/>
        </w:rPr>
        <w:t>Index of Stream Condition</w:t>
      </w:r>
      <w:r>
        <w:t xml:space="preserve">.  State of Victoria.  Retrieved Dec 2012, from </w:t>
      </w:r>
      <w:hyperlink r:id="rId14" w:history="1">
        <w:r w:rsidRPr="00DF7572">
          <w:rPr>
            <w:rStyle w:val="Hyperlink"/>
          </w:rPr>
          <w:t>http://www.water.vic.gov.au/monitoring/river-health/isc</w:t>
        </w:r>
      </w:hyperlink>
    </w:p>
  </w:endnote>
  <w:endnote w:id="23">
    <w:p w:rsidR="00986A02" w:rsidRDefault="00986A02" w:rsidP="00986A02">
      <w:pPr>
        <w:pStyle w:val="DSEBody"/>
      </w:pPr>
      <w:r>
        <w:rPr>
          <w:rStyle w:val="EndnoteReference"/>
        </w:rPr>
        <w:endnoteRef/>
      </w:r>
      <w:r>
        <w:t xml:space="preserve"> </w:t>
      </w:r>
      <w:r w:rsidRPr="00986A02">
        <w:t xml:space="preserve">The State of Victoria (2008). </w:t>
      </w:r>
      <w:r w:rsidRPr="00986A02">
        <w:rPr>
          <w:i/>
        </w:rPr>
        <w:t>Native Vegetation Net Gain Accounting first approximation report</w:t>
      </w:r>
      <w:r w:rsidRPr="00986A02">
        <w:t>. Victorian Government Department of Sustainability and Environment.</w:t>
      </w:r>
    </w:p>
  </w:endnote>
  <w:endnote w:id="24">
    <w:p w:rsidR="00986A02" w:rsidRPr="003A5D8E" w:rsidRDefault="00986A02" w:rsidP="00430CD4">
      <w:pPr>
        <w:pStyle w:val="DSEBody"/>
        <w:rPr>
          <w:i/>
        </w:rPr>
      </w:pPr>
      <w:r>
        <w:rPr>
          <w:rStyle w:val="EndnoteReference"/>
        </w:rPr>
        <w:endnoteRef/>
      </w:r>
      <w:r>
        <w:t xml:space="preserve">  </w:t>
      </w:r>
      <w:proofErr w:type="spellStart"/>
      <w:r w:rsidRPr="003A5D8E">
        <w:rPr>
          <w:lang w:val="en-US"/>
        </w:rPr>
        <w:t>Parkes</w:t>
      </w:r>
      <w:proofErr w:type="spellEnd"/>
      <w:r w:rsidRPr="003A5D8E">
        <w:rPr>
          <w:lang w:val="en-US"/>
        </w:rPr>
        <w:t xml:space="preserve"> </w:t>
      </w:r>
      <w:r w:rsidRPr="003A5D8E">
        <w:rPr>
          <w:i/>
          <w:lang w:val="en-US"/>
        </w:rPr>
        <w:t>et al</w:t>
      </w:r>
      <w:r w:rsidRPr="003A5D8E">
        <w:rPr>
          <w:lang w:val="en-US"/>
        </w:rPr>
        <w:t xml:space="preserve"> (2003), </w:t>
      </w:r>
      <w:r w:rsidRPr="003A5D8E">
        <w:rPr>
          <w:i/>
          <w:lang w:val="en-US"/>
        </w:rPr>
        <w:t>loc. cit</w:t>
      </w:r>
      <w:r w:rsidRPr="003A5D8E">
        <w:rPr>
          <w:lang w:val="en-US"/>
        </w:rPr>
        <w:t>.</w:t>
      </w:r>
    </w:p>
  </w:endnote>
  <w:endnote w:id="25">
    <w:p w:rsidR="00986A02" w:rsidRDefault="00986A02" w:rsidP="00986A02">
      <w:pPr>
        <w:pStyle w:val="DSEBody"/>
      </w:pPr>
      <w:r>
        <w:rPr>
          <w:rStyle w:val="EndnoteReference"/>
        </w:rPr>
        <w:endnoteRef/>
      </w:r>
      <w:r>
        <w:t xml:space="preserve"> </w:t>
      </w:r>
      <w:r w:rsidRPr="00986A02">
        <w:t>The State of Victoria (2008)</w:t>
      </w:r>
      <w:r>
        <w:t xml:space="preserve">, </w:t>
      </w:r>
      <w:r>
        <w:rPr>
          <w:i/>
        </w:rPr>
        <w:t>loc. cit.</w:t>
      </w:r>
      <w:r w:rsidRPr="00986A02">
        <w:t xml:space="preserve"> </w:t>
      </w:r>
    </w:p>
  </w:endnote>
  <w:endnote w:id="26">
    <w:p w:rsidR="00986A02" w:rsidRDefault="00986A02" w:rsidP="00902B92">
      <w:pPr>
        <w:pStyle w:val="DSEBody"/>
      </w:pPr>
      <w:r>
        <w:rPr>
          <w:rStyle w:val="EndnoteReference"/>
        </w:rPr>
        <w:endnoteRef/>
      </w:r>
      <w:r>
        <w:t xml:space="preserve"> </w:t>
      </w:r>
      <w:r w:rsidRPr="00760877">
        <w:rPr>
          <w:lang w:val="en-US"/>
        </w:rPr>
        <w:t xml:space="preserve"> </w:t>
      </w:r>
      <w:r w:rsidRPr="00071F0C">
        <w:rPr>
          <w:lang w:val="en-US"/>
        </w:rPr>
        <w:t xml:space="preserve">United Nations, European Commission, Food and Agriculture </w:t>
      </w:r>
      <w:proofErr w:type="spellStart"/>
      <w:r w:rsidRPr="00071F0C">
        <w:rPr>
          <w:lang w:val="en-US"/>
        </w:rPr>
        <w:t>Organisation</w:t>
      </w:r>
      <w:proofErr w:type="spellEnd"/>
      <w:r w:rsidRPr="00071F0C">
        <w:rPr>
          <w:lang w:val="en-US"/>
        </w:rPr>
        <w:t xml:space="preserve">, International Monetary Fund, </w:t>
      </w:r>
      <w:proofErr w:type="spellStart"/>
      <w:r w:rsidRPr="00071F0C">
        <w:rPr>
          <w:lang w:val="en-US"/>
        </w:rPr>
        <w:t>Organisation</w:t>
      </w:r>
      <w:proofErr w:type="spellEnd"/>
      <w:r w:rsidRPr="00071F0C">
        <w:rPr>
          <w:lang w:val="en-US"/>
        </w:rPr>
        <w:t xml:space="preserve"> of Economic Co-operation and Development, World Bank (2012</w:t>
      </w:r>
      <w:r>
        <w:rPr>
          <w:lang w:val="en-US"/>
        </w:rPr>
        <w:t xml:space="preserve">), </w:t>
      </w:r>
      <w:r>
        <w:rPr>
          <w:i/>
          <w:lang w:val="en-US"/>
        </w:rPr>
        <w:t>op. cit.</w:t>
      </w:r>
      <w:r>
        <w:rPr>
          <w:lang w:val="en-US"/>
        </w:rPr>
        <w:t>, paragraph 4.28.</w:t>
      </w:r>
    </w:p>
  </w:endnote>
  <w:endnote w:id="27">
    <w:p w:rsidR="00986A02" w:rsidRPr="00902B92" w:rsidRDefault="00986A02" w:rsidP="00902B92">
      <w:pPr>
        <w:pStyle w:val="DSEBody"/>
        <w:rPr>
          <w:lang w:val="en-US"/>
        </w:rPr>
      </w:pPr>
      <w:r>
        <w:rPr>
          <w:rStyle w:val="EndnoteReference"/>
        </w:rPr>
        <w:endnoteRef/>
      </w:r>
      <w:r>
        <w:t xml:space="preserve"> </w:t>
      </w:r>
      <w:r w:rsidRPr="00760877">
        <w:rPr>
          <w:lang w:val="en-US"/>
        </w:rPr>
        <w:t xml:space="preserve">Stoneham, G., </w:t>
      </w:r>
      <w:proofErr w:type="spellStart"/>
      <w:r w:rsidRPr="00760877">
        <w:rPr>
          <w:lang w:val="en-US"/>
        </w:rPr>
        <w:t>Chaudhri</w:t>
      </w:r>
      <w:proofErr w:type="spellEnd"/>
      <w:r w:rsidRPr="00760877">
        <w:rPr>
          <w:lang w:val="en-US"/>
        </w:rPr>
        <w:t xml:space="preserve">, V., Ha, A. and </w:t>
      </w:r>
      <w:proofErr w:type="spellStart"/>
      <w:r w:rsidRPr="00760877">
        <w:rPr>
          <w:lang w:val="en-US"/>
        </w:rPr>
        <w:t>Strappazzon</w:t>
      </w:r>
      <w:proofErr w:type="spellEnd"/>
      <w:r w:rsidRPr="00760877">
        <w:rPr>
          <w:lang w:val="en-US"/>
        </w:rPr>
        <w:t>, L. (2003)</w:t>
      </w:r>
      <w:r>
        <w:rPr>
          <w:lang w:val="en-US"/>
        </w:rPr>
        <w:t>.</w:t>
      </w:r>
      <w:r w:rsidRPr="00760877">
        <w:rPr>
          <w:lang w:val="en-US"/>
        </w:rPr>
        <w:t xml:space="preserve"> Auctions for conservation contracts: an empirical examination of Victoria’s </w:t>
      </w:r>
      <w:proofErr w:type="spellStart"/>
      <w:r w:rsidRPr="00760877">
        <w:rPr>
          <w:lang w:val="en-US"/>
        </w:rPr>
        <w:t>BushTender</w:t>
      </w:r>
      <w:proofErr w:type="spellEnd"/>
      <w:r w:rsidRPr="00760877">
        <w:rPr>
          <w:lang w:val="en-US"/>
        </w:rPr>
        <w:t xml:space="preserve"> trial. </w:t>
      </w:r>
      <w:r w:rsidRPr="009D648F">
        <w:rPr>
          <w:i/>
          <w:lang w:val="en-US"/>
        </w:rPr>
        <w:t>Australian Journal of Agricultural and Resource Economics</w:t>
      </w:r>
      <w:r>
        <w:rPr>
          <w:lang w:val="en-US"/>
        </w:rPr>
        <w:t>, 47,</w:t>
      </w:r>
      <w:r w:rsidRPr="00760877">
        <w:rPr>
          <w:lang w:val="en-US"/>
        </w:rPr>
        <w:t xml:space="preserve"> 477-500.</w:t>
      </w:r>
    </w:p>
  </w:endnote>
  <w:endnote w:id="28">
    <w:p w:rsidR="00986A02" w:rsidRPr="00407524" w:rsidRDefault="00986A02" w:rsidP="00407524">
      <w:pPr>
        <w:pStyle w:val="DSEBody"/>
        <w:rPr>
          <w:lang w:val="en-US"/>
        </w:rPr>
      </w:pPr>
      <w:r>
        <w:rPr>
          <w:rStyle w:val="EndnoteReference"/>
        </w:rPr>
        <w:endnoteRef/>
      </w:r>
      <w:r>
        <w:t xml:space="preserve"> </w:t>
      </w:r>
      <w:r w:rsidRPr="00407524">
        <w:rPr>
          <w:lang w:val="en-US"/>
        </w:rPr>
        <w:t xml:space="preserve">Eigenraam, M., L. </w:t>
      </w:r>
      <w:proofErr w:type="spellStart"/>
      <w:r w:rsidRPr="00407524">
        <w:rPr>
          <w:lang w:val="en-US"/>
        </w:rPr>
        <w:t>Strappazzon</w:t>
      </w:r>
      <w:proofErr w:type="spellEnd"/>
      <w:r w:rsidRPr="00407524">
        <w:rPr>
          <w:lang w:val="en-US"/>
        </w:rPr>
        <w:t xml:space="preserve">, N. </w:t>
      </w:r>
      <w:proofErr w:type="spellStart"/>
      <w:r w:rsidRPr="00407524">
        <w:rPr>
          <w:lang w:val="en-US"/>
        </w:rPr>
        <w:t>Lansdell</w:t>
      </w:r>
      <w:proofErr w:type="spellEnd"/>
      <w:r w:rsidRPr="00407524">
        <w:rPr>
          <w:lang w:val="en-US"/>
        </w:rPr>
        <w:t xml:space="preserve">, C. Beverly and G. Stoneham (2007). Designing frameworks to deliver unknown information to support market-based instruments. </w:t>
      </w:r>
      <w:r w:rsidRPr="00407524">
        <w:rPr>
          <w:i/>
          <w:lang w:val="en-US"/>
        </w:rPr>
        <w:t>Agricultural Economics</w:t>
      </w:r>
      <w:r>
        <w:rPr>
          <w:lang w:val="en-US"/>
        </w:rPr>
        <w:t xml:space="preserve"> 37(S1),</w:t>
      </w:r>
      <w:r w:rsidRPr="00407524">
        <w:rPr>
          <w:lang w:val="en-US"/>
        </w:rPr>
        <w:t xml:space="preserve"> 261-269.</w:t>
      </w:r>
    </w:p>
  </w:endnote>
  <w:endnote w:id="29">
    <w:p w:rsidR="00BC7DBF" w:rsidRDefault="00BC7DBF" w:rsidP="00BC7DBF">
      <w:pPr>
        <w:pStyle w:val="DSEBody"/>
      </w:pPr>
      <w:r>
        <w:rPr>
          <w:rStyle w:val="EndnoteReference"/>
        </w:rPr>
        <w:endnoteRef/>
      </w:r>
      <w:r>
        <w:t xml:space="preserve"> </w:t>
      </w:r>
      <w:proofErr w:type="spellStart"/>
      <w:r>
        <w:rPr>
          <w:lang w:val="en-US"/>
        </w:rPr>
        <w:t>Eigenraam</w:t>
      </w:r>
      <w:proofErr w:type="spellEnd"/>
      <w:r w:rsidRPr="003A5D8E">
        <w:rPr>
          <w:lang w:val="en-US"/>
        </w:rPr>
        <w:t xml:space="preserve"> </w:t>
      </w:r>
      <w:r w:rsidRPr="003A5D8E">
        <w:rPr>
          <w:i/>
          <w:lang w:val="en-US"/>
        </w:rPr>
        <w:t>et al</w:t>
      </w:r>
      <w:r w:rsidRPr="003A5D8E">
        <w:rPr>
          <w:lang w:val="en-US"/>
        </w:rPr>
        <w:t xml:space="preserve"> (2003), </w:t>
      </w:r>
      <w:r w:rsidRPr="003A5D8E">
        <w:rPr>
          <w:i/>
          <w:lang w:val="en-US"/>
        </w:rPr>
        <w:t>loc. cit</w:t>
      </w:r>
      <w:r w:rsidRPr="003A5D8E">
        <w:rPr>
          <w:lang w:val="en-US"/>
        </w:rPr>
        <w:t>.</w:t>
      </w:r>
    </w:p>
  </w:endnote>
  <w:endnote w:id="30">
    <w:p w:rsidR="00986A02" w:rsidRPr="00902B92" w:rsidRDefault="00986A02" w:rsidP="00902B92">
      <w:pPr>
        <w:pStyle w:val="DSEBody"/>
        <w:rPr>
          <w:lang w:val="en-US"/>
        </w:rPr>
      </w:pPr>
      <w:r>
        <w:rPr>
          <w:rStyle w:val="EndnoteReference"/>
        </w:rPr>
        <w:endnoteRef/>
      </w:r>
      <w:r>
        <w:t xml:space="preserve"> </w:t>
      </w:r>
      <w:r w:rsidRPr="00071F0C">
        <w:rPr>
          <w:lang w:val="en-US"/>
        </w:rPr>
        <w:t>United Nations Statistical Division</w:t>
      </w:r>
      <w:r>
        <w:rPr>
          <w:lang w:val="en-US"/>
        </w:rPr>
        <w:t xml:space="preserve"> (</w:t>
      </w:r>
      <w:r w:rsidRPr="00071F0C">
        <w:rPr>
          <w:lang w:val="en-US"/>
        </w:rPr>
        <w:t>2013</w:t>
      </w:r>
      <w:r>
        <w:rPr>
          <w:lang w:val="en-US"/>
        </w:rPr>
        <w:t xml:space="preserve">), </w:t>
      </w:r>
      <w:r>
        <w:rPr>
          <w:i/>
          <w:lang w:val="en-US"/>
        </w:rPr>
        <w:t>op. cit.,</w:t>
      </w:r>
      <w:r>
        <w:rPr>
          <w:lang w:val="en-US"/>
        </w:rPr>
        <w:t xml:space="preserve"> table 3.2.</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86A02" w:rsidRDefault="00986A02" w:rsidP="00607A4C">
    <w:pPr>
      <w:pStyle w:val="Footer"/>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Pr="00271651" w:rsidRDefault="00986A02" w:rsidP="00271651">
    <w:pPr>
      <w:pStyle w:val="Footer"/>
      <w:rPr>
        <w:szCs w:val="1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2A5794">
    <w:pPr>
      <w:pStyle w:val="Foot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2" type="#_x0000_t75" style="position:absolute;margin-left:18.9pt;margin-top:756.6pt;width:141.65pt;height:57.25pt;z-index:251661824;mso-position-horizontal-relative:page;mso-position-vertical-relative:page">
          <v:imagedata r:id="rId1" o:title="ecomarkets_blue"/>
          <w10:wrap anchorx="page" anchory="page"/>
          <w10:anchorlock/>
        </v:shape>
      </w:pict>
    </w:r>
    <w:r>
      <w:rPr>
        <w:noProof/>
      </w:rPr>
      <w:pict>
        <v:shape id="_x0000_s2071" type="#_x0000_t75" style="position:absolute;margin-left:317.25pt;margin-top:772.8pt;width:248.75pt;height:33.65pt;z-index:251660800;mso-position-horizontal-relative:page;mso-position-vertical-relative:page">
          <v:imagedata r:id="rId2" o:title="dse_new_logo"/>
          <w10:wrap anchorx="page" anchory="page"/>
          <w10:anchorlock/>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86A02" w:rsidRDefault="00986A02" w:rsidP="00607A4C">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86A02" w:rsidRDefault="00986A02" w:rsidP="00607A4C">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C6256A">
    <w:pPr>
      <w:pStyle w:val="DSEFooter"/>
      <w:rPr>
        <w:rStyle w:val="DSERptPgNum"/>
        <w:color w:val="auto"/>
      </w:rPr>
    </w:pPr>
    <w:r>
      <w:rPr>
        <w:rStyle w:val="DSERptPgNum"/>
        <w:b/>
        <w:color w:val="auto"/>
      </w:rPr>
      <w:t xml:space="preserve">Environmental-Economic Accounting </w:t>
    </w:r>
    <w:r>
      <w:rPr>
        <w:rStyle w:val="DSERptPgNum"/>
        <w:color w:val="auto"/>
      </w:rPr>
      <w:t>Victorian Experimental Ecosystem Accounts</w:t>
    </w:r>
  </w:p>
  <w:p w:rsidR="00986A02" w:rsidRDefault="00986A02" w:rsidP="00C6256A">
    <w:pPr>
      <w:pStyle w:val="DSEFooter"/>
      <w:rPr>
        <w:rStyle w:val="DSERptPgNum"/>
        <w:color w:val="auto"/>
      </w:rPr>
    </w:pPr>
  </w:p>
  <w:p w:rsidR="00986A02" w:rsidRPr="003F347D" w:rsidRDefault="00986A02" w:rsidP="005D35D2">
    <w:pPr>
      <w:pStyle w:val="DSEFooter"/>
    </w:pPr>
    <w:r w:rsidRPr="003F347D">
      <w:rPr>
        <w:rStyle w:val="DSERptPgNum"/>
      </w:rPr>
      <w:fldChar w:fldCharType="begin"/>
    </w:r>
    <w:r w:rsidRPr="003F347D">
      <w:rPr>
        <w:rStyle w:val="DSERptPgNum"/>
      </w:rPr>
      <w:instrText xml:space="preserve"> PAGE   \* MERGEFORMAT </w:instrText>
    </w:r>
    <w:r w:rsidRPr="003F347D">
      <w:rPr>
        <w:rStyle w:val="DSERptPgNum"/>
      </w:rPr>
      <w:fldChar w:fldCharType="separate"/>
    </w:r>
    <w:r w:rsidR="002A5794">
      <w:rPr>
        <w:rStyle w:val="DSERptPgNum"/>
        <w:noProof/>
      </w:rPr>
      <w:t>ii</w:t>
    </w:r>
    <w:r w:rsidRPr="003F347D">
      <w:rPr>
        <w:rStyle w:val="DSE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5D35D2">
    <w:pPr>
      <w:pStyle w:val="DSEFooter"/>
      <w:rPr>
        <w:rStyle w:val="DSERptPgNum"/>
        <w:b/>
        <w:color w:val="auto"/>
      </w:rPr>
    </w:pPr>
  </w:p>
  <w:p w:rsidR="00986A02" w:rsidRDefault="00986A02" w:rsidP="005D35D2">
    <w:pPr>
      <w:pStyle w:val="DSEFooter"/>
      <w:rPr>
        <w:rStyle w:val="DSERptPgNum"/>
        <w:b/>
        <w:color w:val="auto"/>
      </w:rPr>
    </w:pPr>
  </w:p>
  <w:p w:rsidR="00986A02" w:rsidRDefault="00986A02" w:rsidP="005D35D2">
    <w:pPr>
      <w:pStyle w:val="DSEFooter"/>
      <w:rPr>
        <w:rStyle w:val="DSERptPgNum"/>
        <w:color w:val="auto"/>
      </w:rPr>
    </w:pPr>
    <w:r>
      <w:rPr>
        <w:rStyle w:val="DSERptPgNum"/>
        <w:b/>
        <w:color w:val="auto"/>
      </w:rPr>
      <w:t xml:space="preserve">Environmental-Economic Accounting </w:t>
    </w:r>
    <w:r>
      <w:rPr>
        <w:rStyle w:val="DSERptPgNum"/>
        <w:color w:val="auto"/>
      </w:rPr>
      <w:t>Victorian Experimental Ecosystem Accounts</w:t>
    </w:r>
  </w:p>
  <w:p w:rsidR="00986A02" w:rsidRPr="00371E21" w:rsidRDefault="00986A02" w:rsidP="005D35D2">
    <w:pPr>
      <w:pStyle w:val="DSEFooter"/>
      <w:rPr>
        <w:rStyle w:val="DSERptPgNum"/>
        <w:color w:val="auto"/>
      </w:rPr>
    </w:pPr>
  </w:p>
  <w:p w:rsidR="00986A02" w:rsidRPr="009F4E32" w:rsidRDefault="00986A02" w:rsidP="00536641">
    <w:pPr>
      <w:pStyle w:val="DSEFooter"/>
      <w:rPr>
        <w:szCs w:val="14"/>
      </w:rPr>
    </w:pPr>
    <w:r w:rsidRPr="00235C7F">
      <w:rPr>
        <w:rStyle w:val="DSERptPgNum"/>
      </w:rPr>
      <w:fldChar w:fldCharType="begin"/>
    </w:r>
    <w:r>
      <w:rPr>
        <w:rStyle w:val="DSERptPgNum"/>
      </w:rPr>
      <w:instrText>PAGE</w:instrText>
    </w:r>
    <w:r w:rsidRPr="00235C7F">
      <w:rPr>
        <w:rStyle w:val="DSERptPgNum"/>
      </w:rPr>
      <w:instrText xml:space="preserve">  \* MERGEFORMAT </w:instrText>
    </w:r>
    <w:r w:rsidRPr="00235C7F">
      <w:rPr>
        <w:rStyle w:val="DSERptPgNum"/>
      </w:rPr>
      <w:fldChar w:fldCharType="separate"/>
    </w:r>
    <w:r w:rsidR="002A5794">
      <w:rPr>
        <w:rStyle w:val="DSERptPgNum"/>
        <w:noProof/>
      </w:rPr>
      <w:t>i</w:t>
    </w:r>
    <w:r w:rsidRPr="00235C7F">
      <w:rPr>
        <w:rStyle w:val="DSERptPgNum"/>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Pr="003F347D" w:rsidRDefault="00986A02" w:rsidP="003F347D">
    <w:pPr>
      <w:pStyle w:val="DSEFooter"/>
    </w:pPr>
    <w:r w:rsidRPr="003F347D">
      <w:fldChar w:fldCharType="begin"/>
    </w:r>
    <w:r w:rsidRPr="003F347D">
      <w:instrText xml:space="preserve"> REF  DocTitle  \* MERGEFORMAT </w:instrText>
    </w:r>
    <w:r w:rsidRPr="003F347D">
      <w:fldChar w:fldCharType="separate"/>
    </w:r>
    <w:r>
      <w:rPr>
        <w:b/>
        <w:bCs/>
        <w:lang w:val="en-US"/>
      </w:rPr>
      <w:t>Error! Reference source not found.</w:t>
    </w:r>
    <w:r w:rsidRPr="003F347D">
      <w:fldChar w:fldCharType="end"/>
    </w:r>
    <w:r w:rsidRPr="003F347D">
      <w:t xml:space="preserve"> </w:t>
    </w:r>
    <w:r w:rsidRPr="003F347D">
      <w:fldChar w:fldCharType="begin"/>
    </w:r>
    <w:r w:rsidRPr="003F347D">
      <w:instrText xml:space="preserve"> REF  DocSbTitle  \* MERGEFORMAT </w:instrText>
    </w:r>
    <w:r w:rsidRPr="003F347D">
      <w:fldChar w:fldCharType="separate"/>
    </w:r>
    <w:r>
      <w:rPr>
        <w:b/>
        <w:bCs/>
        <w:lang w:val="en-US"/>
      </w:rPr>
      <w:t>Error! Reference source not found.</w:t>
    </w:r>
    <w:r w:rsidRPr="003F347D">
      <w:fldChar w:fldCharType="end"/>
    </w:r>
    <w:r>
      <w:rPr>
        <w:rStyle w:val="DSERptPgNum"/>
      </w:rPr>
      <w:br/>
    </w:r>
    <w:r w:rsidRPr="003F347D">
      <w:rPr>
        <w:rStyle w:val="DSERptPgNum"/>
      </w:rPr>
      <w:fldChar w:fldCharType="begin"/>
    </w:r>
    <w:r w:rsidRPr="003F347D">
      <w:rPr>
        <w:rStyle w:val="DSERptPgNum"/>
      </w:rPr>
      <w:instrText xml:space="preserve"> PAGE  \* Arabic  \* MERGEFORMAT </w:instrText>
    </w:r>
    <w:r w:rsidRPr="003F347D">
      <w:rPr>
        <w:rStyle w:val="DSERptPgNum"/>
      </w:rPr>
      <w:fldChar w:fldCharType="separate"/>
    </w:r>
    <w:r>
      <w:rPr>
        <w:rStyle w:val="DSERptPgNum"/>
        <w:noProof/>
      </w:rPr>
      <w:t>10</w:t>
    </w:r>
    <w:r w:rsidRPr="003F347D">
      <w:rPr>
        <w:rStyle w:val="DSERptPgNum"/>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CA7218">
    <w:pPr>
      <w:pStyle w:val="DSEFooter"/>
      <w:rPr>
        <w:rStyle w:val="DSERptPgNum"/>
        <w:b/>
        <w:color w:val="auto"/>
      </w:rPr>
    </w:pPr>
  </w:p>
  <w:p w:rsidR="00986A02" w:rsidRDefault="00986A02" w:rsidP="00CA7218">
    <w:pPr>
      <w:pStyle w:val="DSEFooter"/>
      <w:rPr>
        <w:rStyle w:val="DSERptPgNum"/>
        <w:b/>
        <w:color w:val="auto"/>
      </w:rPr>
    </w:pPr>
  </w:p>
  <w:p w:rsidR="00986A02" w:rsidRDefault="00986A02" w:rsidP="00CA7218">
    <w:pPr>
      <w:pStyle w:val="DSEFooter"/>
      <w:rPr>
        <w:rStyle w:val="DSERptPgNum"/>
        <w:color w:val="auto"/>
      </w:rPr>
    </w:pPr>
    <w:r>
      <w:rPr>
        <w:rStyle w:val="DSERptPgNum"/>
        <w:b/>
        <w:color w:val="auto"/>
      </w:rPr>
      <w:t xml:space="preserve">Environmental-Economic Accounting </w:t>
    </w:r>
    <w:r>
      <w:rPr>
        <w:rStyle w:val="DSERptPgNum"/>
        <w:color w:val="auto"/>
      </w:rPr>
      <w:t>Victorian Experimental Ecosystem Accounts</w:t>
    </w:r>
  </w:p>
  <w:p w:rsidR="00986A02" w:rsidRPr="00371E21" w:rsidRDefault="00986A02" w:rsidP="00CA7218">
    <w:pPr>
      <w:pStyle w:val="DSEFooter"/>
      <w:rPr>
        <w:rStyle w:val="DSERptPgNum"/>
        <w:color w:val="auto"/>
      </w:rPr>
    </w:pPr>
  </w:p>
  <w:p w:rsidR="00986A02" w:rsidRPr="003F347D" w:rsidRDefault="00986A02" w:rsidP="005D35D2">
    <w:pPr>
      <w:pStyle w:val="DSEFooter"/>
    </w:pPr>
    <w:r w:rsidRPr="003F347D">
      <w:rPr>
        <w:rStyle w:val="DSERptPgNum"/>
      </w:rPr>
      <w:fldChar w:fldCharType="begin"/>
    </w:r>
    <w:r w:rsidRPr="003F347D">
      <w:rPr>
        <w:rStyle w:val="DSERptPgNum"/>
      </w:rPr>
      <w:instrText xml:space="preserve"> PAGE   \* MERGEFORMAT </w:instrText>
    </w:r>
    <w:r w:rsidRPr="003F347D">
      <w:rPr>
        <w:rStyle w:val="DSERptPgNum"/>
      </w:rPr>
      <w:fldChar w:fldCharType="separate"/>
    </w:r>
    <w:r w:rsidR="002A5794">
      <w:rPr>
        <w:rStyle w:val="DSERptPgNum"/>
        <w:noProof/>
      </w:rPr>
      <w:t>2</w:t>
    </w:r>
    <w:r w:rsidRPr="003F347D">
      <w:rPr>
        <w:rStyle w:val="DSERptPgNum"/>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CA7218">
    <w:pPr>
      <w:pStyle w:val="DSEFooter"/>
      <w:rPr>
        <w:rStyle w:val="DSERptPgNum"/>
        <w:b/>
        <w:color w:val="auto"/>
      </w:rPr>
    </w:pPr>
  </w:p>
  <w:p w:rsidR="00986A02" w:rsidRDefault="00986A02" w:rsidP="00CA7218">
    <w:pPr>
      <w:pStyle w:val="DSEFooter"/>
      <w:rPr>
        <w:rStyle w:val="DSERptPgNum"/>
        <w:b/>
        <w:color w:val="auto"/>
      </w:rPr>
    </w:pPr>
  </w:p>
  <w:p w:rsidR="00986A02" w:rsidRDefault="00986A02" w:rsidP="00CA7218">
    <w:pPr>
      <w:pStyle w:val="DSEFooter"/>
      <w:rPr>
        <w:rStyle w:val="DSERptPgNum"/>
        <w:color w:val="auto"/>
      </w:rPr>
    </w:pPr>
    <w:r>
      <w:rPr>
        <w:rStyle w:val="DSERptPgNum"/>
        <w:b/>
        <w:color w:val="auto"/>
      </w:rPr>
      <w:t xml:space="preserve">Environmental-Economic Accounting </w:t>
    </w:r>
    <w:r>
      <w:rPr>
        <w:rStyle w:val="DSERptPgNum"/>
        <w:color w:val="auto"/>
      </w:rPr>
      <w:t>Victorian Experimental Ecosystem Accounts</w:t>
    </w:r>
  </w:p>
  <w:p w:rsidR="00986A02" w:rsidRPr="00371E21" w:rsidRDefault="00986A02" w:rsidP="00CA7218">
    <w:pPr>
      <w:pStyle w:val="DSEFooter"/>
      <w:rPr>
        <w:rStyle w:val="DSERptPgNum"/>
        <w:color w:val="auto"/>
      </w:rPr>
    </w:pPr>
  </w:p>
  <w:p w:rsidR="00986A02" w:rsidRPr="003F347D" w:rsidRDefault="00986A02" w:rsidP="005D35D2">
    <w:pPr>
      <w:pStyle w:val="DSEFooter"/>
    </w:pPr>
    <w:r w:rsidRPr="003F347D">
      <w:rPr>
        <w:rStyle w:val="DSERptPgNum"/>
      </w:rPr>
      <w:fldChar w:fldCharType="begin"/>
    </w:r>
    <w:r w:rsidRPr="003F347D">
      <w:rPr>
        <w:rStyle w:val="DSERptPgNum"/>
      </w:rPr>
      <w:instrText xml:space="preserve"> PAGE   \* MERGEFORMAT </w:instrText>
    </w:r>
    <w:r w:rsidRPr="003F347D">
      <w:rPr>
        <w:rStyle w:val="DSERptPgNum"/>
      </w:rPr>
      <w:fldChar w:fldCharType="separate"/>
    </w:r>
    <w:r w:rsidR="002A5794">
      <w:rPr>
        <w:rStyle w:val="DSERptPgNum"/>
        <w:noProof/>
      </w:rPr>
      <w:t>1</w:t>
    </w:r>
    <w:r w:rsidRPr="003F347D">
      <w:rPr>
        <w:rStyle w:val="DSERptPgNum"/>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7C62" w:rsidRPr="00D07E53" w:rsidRDefault="00A27C62">
      <w:pPr>
        <w:rPr>
          <w:color w:val="FFFFFF"/>
        </w:rPr>
      </w:pPr>
      <w:r w:rsidRPr="00D07E53">
        <w:rPr>
          <w:color w:val="FFFFFF"/>
        </w:rPr>
        <w:separator/>
      </w:r>
    </w:p>
  </w:footnote>
  <w:footnote w:type="continuationSeparator" w:id="0">
    <w:p w:rsidR="00A27C62" w:rsidRDefault="00A27C62">
      <w:r>
        <w:continuationSeparator/>
      </w:r>
    </w:p>
  </w:footnote>
  <w:footnote w:id="1">
    <w:p w:rsidR="00986A02" w:rsidRDefault="00986A02">
      <w:pPr>
        <w:pStyle w:val="FootnoteText"/>
      </w:pPr>
      <w:r>
        <w:rPr>
          <w:rStyle w:val="FootnoteReference"/>
        </w:rPr>
        <w:footnoteRef/>
      </w:r>
      <w:r>
        <w:t xml:space="preserve"> The source data do not indicate whether the change was on public or private land.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2A5794">
    <w:pPr>
      <w:pStyle w:val="Header"/>
    </w:pPr>
    <w:r>
      <w:rPr>
        <w:noProof/>
        <w:lang w:eastAsia="ja-JP"/>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0" type="#_x0000_t75" style="position:absolute;margin-left:8.7pt;margin-top:14.15pt;width:594.6pt;height:279.3pt;z-index:-251656704;mso-position-horizontal-relative:page;mso-position-vertical-relative:page">
          <v:imagedata r:id="rId1" o:title="Curve3_grey"/>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pPr>
      <w:pStyle w:val="Header"/>
      <w:rPr>
        <w:lang w:val="en-US"/>
      </w:rPr>
    </w:pPr>
  </w:p>
  <w:p w:rsidR="00986A02" w:rsidRDefault="00986A02">
    <w:pPr>
      <w:pStyle w:val="Header"/>
      <w:rPr>
        <w:lang w:val="en-US"/>
      </w:rPr>
    </w:pPr>
  </w:p>
  <w:p w:rsidR="00986A02" w:rsidRDefault="00986A02">
    <w:pPr>
      <w:pStyle w:val="Header"/>
      <w:rPr>
        <w:lang w:val="en-US"/>
      </w:rPr>
    </w:pPr>
  </w:p>
  <w:p w:rsidR="00986A02" w:rsidRDefault="00986A02">
    <w:pPr>
      <w:pStyle w:val="Header"/>
      <w:rPr>
        <w:lang w:val="en-US"/>
      </w:rPr>
    </w:pPr>
  </w:p>
  <w:p w:rsidR="00986A02" w:rsidRDefault="00986A02">
    <w:pPr>
      <w:pStyle w:val="Heade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4D0C33">
    <w:pPr>
      <w:pStyle w:val="DSE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0D009F">
    <w:pPr>
      <w:pStyle w:val="Header"/>
    </w:pPr>
  </w:p>
  <w:p w:rsidR="00986A02" w:rsidRDefault="00986A02" w:rsidP="000D009F">
    <w:pPr>
      <w:pStyle w:val="Header"/>
    </w:pPr>
  </w:p>
  <w:p w:rsidR="00986A02" w:rsidRDefault="00986A02" w:rsidP="000D009F">
    <w:pPr>
      <w:pStyle w:val="Header"/>
    </w:pPr>
  </w:p>
  <w:p w:rsidR="00986A02" w:rsidRDefault="00986A02" w:rsidP="000D009F">
    <w:pPr>
      <w:pStyle w:val="Header"/>
    </w:pPr>
  </w:p>
  <w:p w:rsidR="00986A02" w:rsidRDefault="00986A02" w:rsidP="000D009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4D0C33">
    <w:pPr>
      <w:pStyle w:val="DSEHeader"/>
    </w:pPr>
  </w:p>
  <w:p w:rsidR="00986A02" w:rsidRDefault="00986A02" w:rsidP="004D0C33">
    <w:pPr>
      <w:pStyle w:val="DSEHeader"/>
    </w:pPr>
  </w:p>
  <w:p w:rsidR="00986A02" w:rsidRDefault="00986A02" w:rsidP="004D0C33">
    <w:pPr>
      <w:pStyle w:val="DSEHeader"/>
    </w:pPr>
  </w:p>
  <w:p w:rsidR="00986A02" w:rsidRDefault="00986A02" w:rsidP="004D0C33">
    <w:pPr>
      <w:pStyle w:val="DSEHeader"/>
    </w:pPr>
  </w:p>
  <w:p w:rsidR="00986A02" w:rsidRDefault="00986A02" w:rsidP="004D0C33">
    <w:pPr>
      <w:pStyle w:val="DSE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4D0C33">
    <w:pPr>
      <w:pStyle w:val="DSE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A02" w:rsidRDefault="00986A02" w:rsidP="004D0C33">
    <w:pPr>
      <w:pStyle w:val="DSEHeader"/>
    </w:pPr>
    <w:r>
      <w:rPr>
        <w:noProof/>
        <w:lang w:eastAsia="en-AU"/>
      </w:rPr>
      <w:drawing>
        <wp:anchor distT="0" distB="0" distL="114300" distR="114300" simplePos="0" relativeHeight="251657728" behindDoc="1" locked="0" layoutInCell="1" allowOverlap="1" wp14:anchorId="0E7162A6" wp14:editId="2EE222EB">
          <wp:simplePos x="0" y="0"/>
          <wp:positionH relativeFrom="page">
            <wp:posOffset>0</wp:posOffset>
          </wp:positionH>
          <wp:positionV relativeFrom="page">
            <wp:posOffset>0</wp:posOffset>
          </wp:positionV>
          <wp:extent cx="7560310" cy="10692765"/>
          <wp:effectExtent l="0" t="0" r="2540" b="0"/>
          <wp:wrapNone/>
          <wp:docPr id="21" name="Picture 21" descr="A4 report back cover_gr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4 report back cover_grey"/>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69276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
    <w:nsid w:val="081956F9"/>
    <w:multiLevelType w:val="hybridMultilevel"/>
    <w:tmpl w:val="302C5C5C"/>
    <w:lvl w:ilvl="0" w:tplc="D11EF60A">
      <w:start w:val="1"/>
      <w:numFmt w:val="bullet"/>
      <w:pStyle w:val="DSE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4">
    <w:nsid w:val="36A06306"/>
    <w:multiLevelType w:val="multilevel"/>
    <w:tmpl w:val="6A246D7E"/>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649A4111"/>
    <w:multiLevelType w:val="hybridMultilevel"/>
    <w:tmpl w:val="D77EB1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6CBC458E"/>
    <w:multiLevelType w:val="hybridMultilevel"/>
    <w:tmpl w:val="63BE10A6"/>
    <w:lvl w:ilvl="0" w:tplc="D11EF60A">
      <w:start w:val="1"/>
      <w:numFmt w:val="bullet"/>
      <w:lvlText w:val=""/>
      <w:lvlJc w:val="left"/>
      <w:pPr>
        <w:tabs>
          <w:tab w:val="num" w:pos="360"/>
        </w:tabs>
        <w:ind w:left="360" w:hanging="360"/>
      </w:pPr>
      <w:rPr>
        <w:rFonts w:ascii="Symbol" w:hAnsi="Symbol" w:hint="default"/>
      </w:rPr>
    </w:lvl>
    <w:lvl w:ilvl="1" w:tplc="7A627A00">
      <w:start w:val="1"/>
      <w:numFmt w:val="bullet"/>
      <w:pStyle w:val="DSEBullet2"/>
      <w:lvlText w:val="–"/>
      <w:lvlJc w:val="left"/>
      <w:pPr>
        <w:tabs>
          <w:tab w:val="num" w:pos="1080"/>
        </w:tabs>
        <w:ind w:left="1080" w:hanging="360"/>
      </w:pPr>
      <w:rPr>
        <w:rFonts w:ascii="Courier New" w:hAnsi="Courier New" w:hint="default"/>
      </w:rPr>
    </w:lvl>
    <w:lvl w:ilvl="2" w:tplc="379A8F16">
      <w:start w:val="1"/>
      <w:numFmt w:val="decimal"/>
      <w:pStyle w:val="DSEListNum"/>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11"/>
  </w:num>
  <w:num w:numId="2">
    <w:abstractNumId w:val="13"/>
  </w:num>
  <w:num w:numId="3">
    <w:abstractNumId w:val="12"/>
  </w:num>
  <w:num w:numId="4">
    <w:abstractNumId w:val="10"/>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1"/>
  </w:num>
  <w:num w:numId="17">
    <w:abstractNumId w:val="16"/>
  </w:num>
  <w:num w:numId="18">
    <w:abstractNumId w:val="16"/>
  </w:num>
  <w:num w:numId="19">
    <w:abstractNumId w:val="16"/>
  </w:num>
  <w:num w:numId="20">
    <w:abstractNumId w:val="16"/>
  </w:num>
  <w:num w:numId="21">
    <w:abstractNumId w:val="16"/>
  </w:num>
  <w:num w:numId="22">
    <w:abstractNumId w:val="16"/>
  </w:num>
  <w:num w:numId="23">
    <w:abstractNumId w:val="11"/>
  </w:num>
  <w:num w:numId="24">
    <w:abstractNumId w:val="11"/>
  </w:num>
  <w:num w:numId="25">
    <w:abstractNumId w:val="11"/>
  </w:num>
  <w:num w:numId="26">
    <w:abstractNumId w:val="11"/>
  </w:num>
  <w:num w:numId="27">
    <w:abstractNumId w:val="11"/>
  </w:num>
  <w:num w:numId="28">
    <w:abstractNumId w:val="16"/>
  </w:num>
  <w:num w:numId="29">
    <w:abstractNumId w:val="16"/>
  </w:num>
  <w:num w:numId="3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en-US" w:vendorID="64" w:dllVersion="131078" w:nlCheck="1" w:checkStyle="1"/>
  <w:activeWritingStyle w:appName="MSWord" w:lang="en-AU" w:vendorID="64" w:dllVersion="131078" w:nlCheck="1" w:checkStyle="1"/>
  <w:proofState w:spelling="clean"/>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ocumentProtection w:edit="forms" w:enforcement="0"/>
  <w:defaultTabStop w:val="720"/>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2073"/>
    <o:shapelayout v:ext="edit">
      <o:idmap v:ext="edit" data="2"/>
    </o:shapelayout>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7CB"/>
    <w:rsid w:val="00000048"/>
    <w:rsid w:val="000036DB"/>
    <w:rsid w:val="00003CB6"/>
    <w:rsid w:val="00012396"/>
    <w:rsid w:val="00012793"/>
    <w:rsid w:val="000263BF"/>
    <w:rsid w:val="00036664"/>
    <w:rsid w:val="00036E98"/>
    <w:rsid w:val="00041156"/>
    <w:rsid w:val="00041C1E"/>
    <w:rsid w:val="000459ED"/>
    <w:rsid w:val="000465C8"/>
    <w:rsid w:val="000539F2"/>
    <w:rsid w:val="00055FB4"/>
    <w:rsid w:val="00057BFC"/>
    <w:rsid w:val="000630DE"/>
    <w:rsid w:val="00070FDB"/>
    <w:rsid w:val="00071E30"/>
    <w:rsid w:val="00071F0C"/>
    <w:rsid w:val="00073409"/>
    <w:rsid w:val="00073818"/>
    <w:rsid w:val="00076886"/>
    <w:rsid w:val="00082D9B"/>
    <w:rsid w:val="00082F4D"/>
    <w:rsid w:val="0008754B"/>
    <w:rsid w:val="00093C41"/>
    <w:rsid w:val="00094FC3"/>
    <w:rsid w:val="0009699E"/>
    <w:rsid w:val="000A1E24"/>
    <w:rsid w:val="000B6AB3"/>
    <w:rsid w:val="000C26C9"/>
    <w:rsid w:val="000C3259"/>
    <w:rsid w:val="000C3CC3"/>
    <w:rsid w:val="000C76F6"/>
    <w:rsid w:val="000C7F02"/>
    <w:rsid w:val="000D009F"/>
    <w:rsid w:val="000D2957"/>
    <w:rsid w:val="000D3EC4"/>
    <w:rsid w:val="000E02A3"/>
    <w:rsid w:val="000E3720"/>
    <w:rsid w:val="000E5BD2"/>
    <w:rsid w:val="000E6BF2"/>
    <w:rsid w:val="000E74A2"/>
    <w:rsid w:val="000F61E7"/>
    <w:rsid w:val="000F627A"/>
    <w:rsid w:val="000F70FA"/>
    <w:rsid w:val="00102471"/>
    <w:rsid w:val="00103ABB"/>
    <w:rsid w:val="0010767D"/>
    <w:rsid w:val="00120C40"/>
    <w:rsid w:val="00121C2C"/>
    <w:rsid w:val="00125145"/>
    <w:rsid w:val="0014601D"/>
    <w:rsid w:val="00160605"/>
    <w:rsid w:val="0016331C"/>
    <w:rsid w:val="00173EE8"/>
    <w:rsid w:val="00175441"/>
    <w:rsid w:val="00177115"/>
    <w:rsid w:val="001875A6"/>
    <w:rsid w:val="001A243B"/>
    <w:rsid w:val="001A74F8"/>
    <w:rsid w:val="001B0B62"/>
    <w:rsid w:val="001B2EC4"/>
    <w:rsid w:val="001C3701"/>
    <w:rsid w:val="001C5FCA"/>
    <w:rsid w:val="001D3C1A"/>
    <w:rsid w:val="001D7D7D"/>
    <w:rsid w:val="001E2024"/>
    <w:rsid w:val="001E764E"/>
    <w:rsid w:val="001E7978"/>
    <w:rsid w:val="001F11C7"/>
    <w:rsid w:val="001F57EA"/>
    <w:rsid w:val="002009FC"/>
    <w:rsid w:val="002021E3"/>
    <w:rsid w:val="00206E53"/>
    <w:rsid w:val="002073BC"/>
    <w:rsid w:val="00207676"/>
    <w:rsid w:val="00210F33"/>
    <w:rsid w:val="002149E7"/>
    <w:rsid w:val="002161F9"/>
    <w:rsid w:val="002210E1"/>
    <w:rsid w:val="0022293E"/>
    <w:rsid w:val="00225869"/>
    <w:rsid w:val="002311D3"/>
    <w:rsid w:val="00233E3F"/>
    <w:rsid w:val="00234083"/>
    <w:rsid w:val="00235C7F"/>
    <w:rsid w:val="0025127D"/>
    <w:rsid w:val="002526EA"/>
    <w:rsid w:val="0026474F"/>
    <w:rsid w:val="00271651"/>
    <w:rsid w:val="00274E8B"/>
    <w:rsid w:val="002750D8"/>
    <w:rsid w:val="0028536F"/>
    <w:rsid w:val="00285925"/>
    <w:rsid w:val="0029096F"/>
    <w:rsid w:val="002A1BEC"/>
    <w:rsid w:val="002A1E40"/>
    <w:rsid w:val="002A26C6"/>
    <w:rsid w:val="002A5794"/>
    <w:rsid w:val="002A772C"/>
    <w:rsid w:val="002B18DB"/>
    <w:rsid w:val="002B1CFA"/>
    <w:rsid w:val="002C047A"/>
    <w:rsid w:val="002C5BA2"/>
    <w:rsid w:val="002F016A"/>
    <w:rsid w:val="002F11D3"/>
    <w:rsid w:val="002F4FA1"/>
    <w:rsid w:val="002F56D1"/>
    <w:rsid w:val="0030315B"/>
    <w:rsid w:val="00306D11"/>
    <w:rsid w:val="00316331"/>
    <w:rsid w:val="00316E1D"/>
    <w:rsid w:val="0032126B"/>
    <w:rsid w:val="00321E13"/>
    <w:rsid w:val="003233F7"/>
    <w:rsid w:val="00327F01"/>
    <w:rsid w:val="00330679"/>
    <w:rsid w:val="00330F0F"/>
    <w:rsid w:val="00336C83"/>
    <w:rsid w:val="00342235"/>
    <w:rsid w:val="00342475"/>
    <w:rsid w:val="003645E6"/>
    <w:rsid w:val="00364A45"/>
    <w:rsid w:val="00371C2B"/>
    <w:rsid w:val="003778E8"/>
    <w:rsid w:val="00381CDF"/>
    <w:rsid w:val="00383E83"/>
    <w:rsid w:val="00391117"/>
    <w:rsid w:val="003911E0"/>
    <w:rsid w:val="003917F9"/>
    <w:rsid w:val="00396A82"/>
    <w:rsid w:val="0039755E"/>
    <w:rsid w:val="003A17F0"/>
    <w:rsid w:val="003A4A13"/>
    <w:rsid w:val="003A5D8E"/>
    <w:rsid w:val="003B3138"/>
    <w:rsid w:val="003C2667"/>
    <w:rsid w:val="003C342E"/>
    <w:rsid w:val="003C5647"/>
    <w:rsid w:val="003D24B4"/>
    <w:rsid w:val="003D36D3"/>
    <w:rsid w:val="003E003E"/>
    <w:rsid w:val="003E1C93"/>
    <w:rsid w:val="003E293E"/>
    <w:rsid w:val="003E4B20"/>
    <w:rsid w:val="003E5533"/>
    <w:rsid w:val="003E65BB"/>
    <w:rsid w:val="003E6E41"/>
    <w:rsid w:val="003F347D"/>
    <w:rsid w:val="003F4DA9"/>
    <w:rsid w:val="003F580E"/>
    <w:rsid w:val="003F7936"/>
    <w:rsid w:val="003F7E25"/>
    <w:rsid w:val="00400A6E"/>
    <w:rsid w:val="00402B41"/>
    <w:rsid w:val="00404A82"/>
    <w:rsid w:val="00405D03"/>
    <w:rsid w:val="0040643C"/>
    <w:rsid w:val="00407524"/>
    <w:rsid w:val="00410B0D"/>
    <w:rsid w:val="004144D6"/>
    <w:rsid w:val="00416360"/>
    <w:rsid w:val="00423B25"/>
    <w:rsid w:val="00425367"/>
    <w:rsid w:val="00430CD4"/>
    <w:rsid w:val="00434EE0"/>
    <w:rsid w:val="004365C8"/>
    <w:rsid w:val="00437AED"/>
    <w:rsid w:val="0044382F"/>
    <w:rsid w:val="004544BD"/>
    <w:rsid w:val="00455AC0"/>
    <w:rsid w:val="004578FA"/>
    <w:rsid w:val="00457E49"/>
    <w:rsid w:val="004625A0"/>
    <w:rsid w:val="00463829"/>
    <w:rsid w:val="0047313F"/>
    <w:rsid w:val="00490504"/>
    <w:rsid w:val="004929B0"/>
    <w:rsid w:val="0049500B"/>
    <w:rsid w:val="004A4AA8"/>
    <w:rsid w:val="004B2BFE"/>
    <w:rsid w:val="004B33FA"/>
    <w:rsid w:val="004B3841"/>
    <w:rsid w:val="004C735F"/>
    <w:rsid w:val="004D0C33"/>
    <w:rsid w:val="004D21CD"/>
    <w:rsid w:val="004D5834"/>
    <w:rsid w:val="004E2D25"/>
    <w:rsid w:val="004E5659"/>
    <w:rsid w:val="004E6888"/>
    <w:rsid w:val="005039C3"/>
    <w:rsid w:val="0050769F"/>
    <w:rsid w:val="0051448D"/>
    <w:rsid w:val="005149B2"/>
    <w:rsid w:val="005211B9"/>
    <w:rsid w:val="00523D68"/>
    <w:rsid w:val="005258A5"/>
    <w:rsid w:val="00526505"/>
    <w:rsid w:val="00532D07"/>
    <w:rsid w:val="00533C54"/>
    <w:rsid w:val="005356D9"/>
    <w:rsid w:val="00536641"/>
    <w:rsid w:val="00540762"/>
    <w:rsid w:val="00542B77"/>
    <w:rsid w:val="00545E74"/>
    <w:rsid w:val="005508F4"/>
    <w:rsid w:val="00557A9B"/>
    <w:rsid w:val="00557B67"/>
    <w:rsid w:val="00563891"/>
    <w:rsid w:val="00570654"/>
    <w:rsid w:val="00577A8F"/>
    <w:rsid w:val="005835E4"/>
    <w:rsid w:val="005962EB"/>
    <w:rsid w:val="005973D1"/>
    <w:rsid w:val="005A2157"/>
    <w:rsid w:val="005A2313"/>
    <w:rsid w:val="005A2C0D"/>
    <w:rsid w:val="005A42F3"/>
    <w:rsid w:val="005A6683"/>
    <w:rsid w:val="005B2029"/>
    <w:rsid w:val="005B2448"/>
    <w:rsid w:val="005B4282"/>
    <w:rsid w:val="005C23A3"/>
    <w:rsid w:val="005C7EE9"/>
    <w:rsid w:val="005D35D2"/>
    <w:rsid w:val="005D51BB"/>
    <w:rsid w:val="005E2C8F"/>
    <w:rsid w:val="005E520D"/>
    <w:rsid w:val="005E7747"/>
    <w:rsid w:val="005F3EA3"/>
    <w:rsid w:val="005F42DC"/>
    <w:rsid w:val="006005B0"/>
    <w:rsid w:val="00600DB5"/>
    <w:rsid w:val="00604FBF"/>
    <w:rsid w:val="00606451"/>
    <w:rsid w:val="00607A4C"/>
    <w:rsid w:val="00613A49"/>
    <w:rsid w:val="0061697B"/>
    <w:rsid w:val="00621073"/>
    <w:rsid w:val="00622F18"/>
    <w:rsid w:val="00642596"/>
    <w:rsid w:val="006446E6"/>
    <w:rsid w:val="00647B37"/>
    <w:rsid w:val="00653667"/>
    <w:rsid w:val="00653B69"/>
    <w:rsid w:val="00655114"/>
    <w:rsid w:val="0067421F"/>
    <w:rsid w:val="00675636"/>
    <w:rsid w:val="00677847"/>
    <w:rsid w:val="00677E9B"/>
    <w:rsid w:val="00680549"/>
    <w:rsid w:val="006915C1"/>
    <w:rsid w:val="00694CB1"/>
    <w:rsid w:val="00695D13"/>
    <w:rsid w:val="006A069B"/>
    <w:rsid w:val="006A26BE"/>
    <w:rsid w:val="006A4D01"/>
    <w:rsid w:val="006A57A8"/>
    <w:rsid w:val="006A57B2"/>
    <w:rsid w:val="006A5C83"/>
    <w:rsid w:val="006A6A6B"/>
    <w:rsid w:val="006C14D3"/>
    <w:rsid w:val="006D001B"/>
    <w:rsid w:val="006E2025"/>
    <w:rsid w:val="006E7CD1"/>
    <w:rsid w:val="006F0B06"/>
    <w:rsid w:val="006F1091"/>
    <w:rsid w:val="006F707D"/>
    <w:rsid w:val="007104D8"/>
    <w:rsid w:val="00712A0D"/>
    <w:rsid w:val="0073569F"/>
    <w:rsid w:val="007557F3"/>
    <w:rsid w:val="00756071"/>
    <w:rsid w:val="00756DA0"/>
    <w:rsid w:val="00757FBF"/>
    <w:rsid w:val="00760877"/>
    <w:rsid w:val="00765330"/>
    <w:rsid w:val="00767F2D"/>
    <w:rsid w:val="007751EA"/>
    <w:rsid w:val="00775A14"/>
    <w:rsid w:val="007819FD"/>
    <w:rsid w:val="00782418"/>
    <w:rsid w:val="00787030"/>
    <w:rsid w:val="00793E80"/>
    <w:rsid w:val="00793FC3"/>
    <w:rsid w:val="007A3996"/>
    <w:rsid w:val="007B18B5"/>
    <w:rsid w:val="007B7BE6"/>
    <w:rsid w:val="007C2BFF"/>
    <w:rsid w:val="007D4012"/>
    <w:rsid w:val="007D413B"/>
    <w:rsid w:val="007E3D7E"/>
    <w:rsid w:val="007E76C9"/>
    <w:rsid w:val="007F2DFD"/>
    <w:rsid w:val="008040EC"/>
    <w:rsid w:val="00806F51"/>
    <w:rsid w:val="00814BDF"/>
    <w:rsid w:val="008231E7"/>
    <w:rsid w:val="00823E6F"/>
    <w:rsid w:val="0083541B"/>
    <w:rsid w:val="008374A2"/>
    <w:rsid w:val="0084327B"/>
    <w:rsid w:val="00852A30"/>
    <w:rsid w:val="0085328B"/>
    <w:rsid w:val="00853FCF"/>
    <w:rsid w:val="0085660C"/>
    <w:rsid w:val="008634EB"/>
    <w:rsid w:val="008672D0"/>
    <w:rsid w:val="00883105"/>
    <w:rsid w:val="00887173"/>
    <w:rsid w:val="008A6BBA"/>
    <w:rsid w:val="008B0046"/>
    <w:rsid w:val="008B0537"/>
    <w:rsid w:val="008B3CD1"/>
    <w:rsid w:val="008B57DC"/>
    <w:rsid w:val="008B61B5"/>
    <w:rsid w:val="008C6230"/>
    <w:rsid w:val="008C7FCC"/>
    <w:rsid w:val="008D09F0"/>
    <w:rsid w:val="008D2382"/>
    <w:rsid w:val="008D5ABD"/>
    <w:rsid w:val="008D7AE5"/>
    <w:rsid w:val="008E4B34"/>
    <w:rsid w:val="008E6C6B"/>
    <w:rsid w:val="008F14E4"/>
    <w:rsid w:val="008F245B"/>
    <w:rsid w:val="008F4932"/>
    <w:rsid w:val="008F6C6A"/>
    <w:rsid w:val="008F7FC1"/>
    <w:rsid w:val="00902B92"/>
    <w:rsid w:val="00907B64"/>
    <w:rsid w:val="009103F8"/>
    <w:rsid w:val="00913DA5"/>
    <w:rsid w:val="00914E3B"/>
    <w:rsid w:val="009159F6"/>
    <w:rsid w:val="00926BDE"/>
    <w:rsid w:val="009429C7"/>
    <w:rsid w:val="0095126B"/>
    <w:rsid w:val="00962D3B"/>
    <w:rsid w:val="00965859"/>
    <w:rsid w:val="00972C1D"/>
    <w:rsid w:val="009807F1"/>
    <w:rsid w:val="00981564"/>
    <w:rsid w:val="00981EA2"/>
    <w:rsid w:val="00982B80"/>
    <w:rsid w:val="00986A02"/>
    <w:rsid w:val="00991C27"/>
    <w:rsid w:val="00992BDA"/>
    <w:rsid w:val="00995AD5"/>
    <w:rsid w:val="009A0B61"/>
    <w:rsid w:val="009A35D1"/>
    <w:rsid w:val="009A54CC"/>
    <w:rsid w:val="009A6312"/>
    <w:rsid w:val="009A7BCF"/>
    <w:rsid w:val="009B1805"/>
    <w:rsid w:val="009B7D2D"/>
    <w:rsid w:val="009C3727"/>
    <w:rsid w:val="009C3FA8"/>
    <w:rsid w:val="009C5C26"/>
    <w:rsid w:val="009D1733"/>
    <w:rsid w:val="009D342A"/>
    <w:rsid w:val="009D3598"/>
    <w:rsid w:val="009D648F"/>
    <w:rsid w:val="009F4E32"/>
    <w:rsid w:val="00A0021E"/>
    <w:rsid w:val="00A006CC"/>
    <w:rsid w:val="00A04614"/>
    <w:rsid w:val="00A05BC3"/>
    <w:rsid w:val="00A07E3D"/>
    <w:rsid w:val="00A1529A"/>
    <w:rsid w:val="00A15796"/>
    <w:rsid w:val="00A160FF"/>
    <w:rsid w:val="00A211B4"/>
    <w:rsid w:val="00A2342B"/>
    <w:rsid w:val="00A27C62"/>
    <w:rsid w:val="00A317F9"/>
    <w:rsid w:val="00A34275"/>
    <w:rsid w:val="00A35EBE"/>
    <w:rsid w:val="00A37BFA"/>
    <w:rsid w:val="00A43470"/>
    <w:rsid w:val="00A51450"/>
    <w:rsid w:val="00A55213"/>
    <w:rsid w:val="00A673C5"/>
    <w:rsid w:val="00A67D11"/>
    <w:rsid w:val="00A730A4"/>
    <w:rsid w:val="00A735F0"/>
    <w:rsid w:val="00A74EE5"/>
    <w:rsid w:val="00A75160"/>
    <w:rsid w:val="00A85081"/>
    <w:rsid w:val="00A85977"/>
    <w:rsid w:val="00A907B3"/>
    <w:rsid w:val="00A94EC1"/>
    <w:rsid w:val="00AA3ADD"/>
    <w:rsid w:val="00AA52C7"/>
    <w:rsid w:val="00AA71E6"/>
    <w:rsid w:val="00AB2440"/>
    <w:rsid w:val="00AB7602"/>
    <w:rsid w:val="00AC23C1"/>
    <w:rsid w:val="00AC5447"/>
    <w:rsid w:val="00AD6635"/>
    <w:rsid w:val="00AE044A"/>
    <w:rsid w:val="00AE1AA7"/>
    <w:rsid w:val="00AE37B5"/>
    <w:rsid w:val="00AF4DB4"/>
    <w:rsid w:val="00AF78EC"/>
    <w:rsid w:val="00AF7962"/>
    <w:rsid w:val="00B0045A"/>
    <w:rsid w:val="00B02199"/>
    <w:rsid w:val="00B025B6"/>
    <w:rsid w:val="00B04420"/>
    <w:rsid w:val="00B106DA"/>
    <w:rsid w:val="00B121B4"/>
    <w:rsid w:val="00B162EE"/>
    <w:rsid w:val="00B233A3"/>
    <w:rsid w:val="00B24621"/>
    <w:rsid w:val="00B3061B"/>
    <w:rsid w:val="00B32165"/>
    <w:rsid w:val="00B33849"/>
    <w:rsid w:val="00B5151F"/>
    <w:rsid w:val="00B51F24"/>
    <w:rsid w:val="00B662EA"/>
    <w:rsid w:val="00B66B6E"/>
    <w:rsid w:val="00B733B8"/>
    <w:rsid w:val="00B81AD6"/>
    <w:rsid w:val="00B94929"/>
    <w:rsid w:val="00BA0FD8"/>
    <w:rsid w:val="00BA3D82"/>
    <w:rsid w:val="00BA6247"/>
    <w:rsid w:val="00BB1AC3"/>
    <w:rsid w:val="00BB37E4"/>
    <w:rsid w:val="00BC6F35"/>
    <w:rsid w:val="00BC79B4"/>
    <w:rsid w:val="00BC7DBF"/>
    <w:rsid w:val="00BD3B6B"/>
    <w:rsid w:val="00BD581E"/>
    <w:rsid w:val="00BE464A"/>
    <w:rsid w:val="00BF1419"/>
    <w:rsid w:val="00BF2DD8"/>
    <w:rsid w:val="00BF6CDB"/>
    <w:rsid w:val="00C005CE"/>
    <w:rsid w:val="00C12EC5"/>
    <w:rsid w:val="00C202E5"/>
    <w:rsid w:val="00C319DF"/>
    <w:rsid w:val="00C353B4"/>
    <w:rsid w:val="00C36606"/>
    <w:rsid w:val="00C40D68"/>
    <w:rsid w:val="00C41223"/>
    <w:rsid w:val="00C45154"/>
    <w:rsid w:val="00C46B5E"/>
    <w:rsid w:val="00C60464"/>
    <w:rsid w:val="00C6256A"/>
    <w:rsid w:val="00C644EC"/>
    <w:rsid w:val="00C65B77"/>
    <w:rsid w:val="00C65FCD"/>
    <w:rsid w:val="00C772CA"/>
    <w:rsid w:val="00CA165E"/>
    <w:rsid w:val="00CA19B7"/>
    <w:rsid w:val="00CA1D02"/>
    <w:rsid w:val="00CA3BEA"/>
    <w:rsid w:val="00CA4A2F"/>
    <w:rsid w:val="00CA547F"/>
    <w:rsid w:val="00CA5BBE"/>
    <w:rsid w:val="00CA7218"/>
    <w:rsid w:val="00CA77CB"/>
    <w:rsid w:val="00CB60E9"/>
    <w:rsid w:val="00CB7DBF"/>
    <w:rsid w:val="00CD29A2"/>
    <w:rsid w:val="00CD3626"/>
    <w:rsid w:val="00CD510C"/>
    <w:rsid w:val="00CD5D73"/>
    <w:rsid w:val="00CE5182"/>
    <w:rsid w:val="00CE523C"/>
    <w:rsid w:val="00CE6306"/>
    <w:rsid w:val="00CF3B6C"/>
    <w:rsid w:val="00CF4452"/>
    <w:rsid w:val="00D010E4"/>
    <w:rsid w:val="00D0132A"/>
    <w:rsid w:val="00D03C40"/>
    <w:rsid w:val="00D0695E"/>
    <w:rsid w:val="00D07E53"/>
    <w:rsid w:val="00D123B4"/>
    <w:rsid w:val="00D12EDA"/>
    <w:rsid w:val="00D1327F"/>
    <w:rsid w:val="00D144BE"/>
    <w:rsid w:val="00D14A18"/>
    <w:rsid w:val="00D22360"/>
    <w:rsid w:val="00D276BA"/>
    <w:rsid w:val="00D30FC9"/>
    <w:rsid w:val="00D35200"/>
    <w:rsid w:val="00D452E2"/>
    <w:rsid w:val="00D46370"/>
    <w:rsid w:val="00D53DF5"/>
    <w:rsid w:val="00D5541D"/>
    <w:rsid w:val="00D5785F"/>
    <w:rsid w:val="00D57FF0"/>
    <w:rsid w:val="00D6189B"/>
    <w:rsid w:val="00D629EC"/>
    <w:rsid w:val="00D6606E"/>
    <w:rsid w:val="00D67751"/>
    <w:rsid w:val="00D678EC"/>
    <w:rsid w:val="00D80B5A"/>
    <w:rsid w:val="00D8129C"/>
    <w:rsid w:val="00D84801"/>
    <w:rsid w:val="00D923BD"/>
    <w:rsid w:val="00D941C3"/>
    <w:rsid w:val="00D95343"/>
    <w:rsid w:val="00D968D8"/>
    <w:rsid w:val="00D97CDA"/>
    <w:rsid w:val="00DA0042"/>
    <w:rsid w:val="00DB14FC"/>
    <w:rsid w:val="00DB2984"/>
    <w:rsid w:val="00DB4DEC"/>
    <w:rsid w:val="00DC3EDB"/>
    <w:rsid w:val="00DC5AF8"/>
    <w:rsid w:val="00DD41DF"/>
    <w:rsid w:val="00DD4D27"/>
    <w:rsid w:val="00DE51EA"/>
    <w:rsid w:val="00DE64B2"/>
    <w:rsid w:val="00DF03B3"/>
    <w:rsid w:val="00DF1735"/>
    <w:rsid w:val="00DF69DF"/>
    <w:rsid w:val="00E00E7C"/>
    <w:rsid w:val="00E05BDA"/>
    <w:rsid w:val="00E06F41"/>
    <w:rsid w:val="00E07904"/>
    <w:rsid w:val="00E12515"/>
    <w:rsid w:val="00E21BF0"/>
    <w:rsid w:val="00E248B8"/>
    <w:rsid w:val="00E319E7"/>
    <w:rsid w:val="00E34BF0"/>
    <w:rsid w:val="00E4125B"/>
    <w:rsid w:val="00E45717"/>
    <w:rsid w:val="00E471CA"/>
    <w:rsid w:val="00E51072"/>
    <w:rsid w:val="00E531CC"/>
    <w:rsid w:val="00E53521"/>
    <w:rsid w:val="00E550B6"/>
    <w:rsid w:val="00E56D27"/>
    <w:rsid w:val="00E6064C"/>
    <w:rsid w:val="00E607E1"/>
    <w:rsid w:val="00E61631"/>
    <w:rsid w:val="00E6278D"/>
    <w:rsid w:val="00E62C78"/>
    <w:rsid w:val="00E64CA0"/>
    <w:rsid w:val="00E700A4"/>
    <w:rsid w:val="00E72420"/>
    <w:rsid w:val="00E73FD7"/>
    <w:rsid w:val="00E83113"/>
    <w:rsid w:val="00E84145"/>
    <w:rsid w:val="00E8448C"/>
    <w:rsid w:val="00E8482C"/>
    <w:rsid w:val="00E8720D"/>
    <w:rsid w:val="00E910BB"/>
    <w:rsid w:val="00E96227"/>
    <w:rsid w:val="00EA26F8"/>
    <w:rsid w:val="00EA31C2"/>
    <w:rsid w:val="00EB3319"/>
    <w:rsid w:val="00EB7419"/>
    <w:rsid w:val="00EB75EA"/>
    <w:rsid w:val="00EC5CBD"/>
    <w:rsid w:val="00EC6F19"/>
    <w:rsid w:val="00ED01D5"/>
    <w:rsid w:val="00ED2696"/>
    <w:rsid w:val="00ED60C9"/>
    <w:rsid w:val="00EE5F14"/>
    <w:rsid w:val="00EE5F17"/>
    <w:rsid w:val="00EF0346"/>
    <w:rsid w:val="00EF6DBE"/>
    <w:rsid w:val="00F02A04"/>
    <w:rsid w:val="00F071E7"/>
    <w:rsid w:val="00F17F45"/>
    <w:rsid w:val="00F26F19"/>
    <w:rsid w:val="00F44BA3"/>
    <w:rsid w:val="00F46148"/>
    <w:rsid w:val="00F477D5"/>
    <w:rsid w:val="00F55EAC"/>
    <w:rsid w:val="00F61127"/>
    <w:rsid w:val="00F757BB"/>
    <w:rsid w:val="00F765D8"/>
    <w:rsid w:val="00F84FBC"/>
    <w:rsid w:val="00F860B2"/>
    <w:rsid w:val="00FA47D1"/>
    <w:rsid w:val="00FA5D58"/>
    <w:rsid w:val="00FC3251"/>
    <w:rsid w:val="00FC6865"/>
    <w:rsid w:val="00FE1FA3"/>
    <w:rsid w:val="00FE229F"/>
    <w:rsid w:val="00FE4B1F"/>
    <w:rsid w:val="00FF464F"/>
    <w:rsid w:val="00FF49E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 w:val="22"/>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SECertHFWhite">
    <w:name w:val="DSE_CertHFWhite"/>
    <w:semiHidden/>
    <w:rsid w:val="00E607E1"/>
    <w:pPr>
      <w:spacing w:line="400" w:lineRule="atLeast"/>
    </w:pPr>
    <w:rPr>
      <w:rFonts w:ascii="Arial" w:hAnsi="Arial" w:cs="Arial"/>
      <w:color w:val="FFFFFF"/>
      <w:sz w:val="28"/>
      <w:szCs w:val="24"/>
      <w:lang w:eastAsia="en-US"/>
    </w:rPr>
  </w:style>
  <w:style w:type="paragraph" w:customStyle="1" w:styleId="DSEBullet2">
    <w:name w:val="DSE_Bullet2"/>
    <w:basedOn w:val="DSEBullet"/>
    <w:rsid w:val="005D35D2"/>
    <w:pPr>
      <w:numPr>
        <w:ilvl w:val="1"/>
        <w:numId w:val="19"/>
      </w:numPr>
      <w:tabs>
        <w:tab w:val="clear" w:pos="170"/>
      </w:tabs>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DSEBody">
    <w:name w:val="DSE_Body"/>
    <w:rsid w:val="005A2157"/>
    <w:pPr>
      <w:spacing w:after="113" w:line="240" w:lineRule="atLeast"/>
    </w:pPr>
    <w:rPr>
      <w:rFonts w:ascii="Arial" w:hAnsi="Arial" w:cs="Arial"/>
      <w:sz w:val="18"/>
      <w:szCs w:val="24"/>
      <w:lang w:eastAsia="en-US"/>
    </w:rPr>
  </w:style>
  <w:style w:type="paragraph" w:customStyle="1" w:styleId="DSEBullet">
    <w:name w:val="DSE_Bullet"/>
    <w:link w:val="DSEBulletChar"/>
    <w:rsid w:val="000E6BF2"/>
    <w:pPr>
      <w:numPr>
        <w:numId w:val="16"/>
      </w:numPr>
      <w:tabs>
        <w:tab w:val="left" w:pos="170"/>
      </w:tabs>
      <w:spacing w:after="113" w:line="220" w:lineRule="atLeast"/>
    </w:pPr>
    <w:rPr>
      <w:rFonts w:ascii="Arial" w:hAnsi="Arial" w:cs="Arial"/>
      <w:sz w:val="18"/>
      <w:szCs w:val="24"/>
      <w:lang w:eastAsia="en-US"/>
    </w:rPr>
  </w:style>
  <w:style w:type="character" w:customStyle="1" w:styleId="DSEBulletChar">
    <w:name w:val="DSE_Bullet Char"/>
    <w:basedOn w:val="DefaultParagraphFont"/>
    <w:link w:val="DSEBullet"/>
    <w:rsid w:val="000E6BF2"/>
    <w:rPr>
      <w:rFonts w:ascii="Arial" w:hAnsi="Arial" w:cs="Arial"/>
      <w:sz w:val="18"/>
      <w:szCs w:val="24"/>
      <w:lang w:eastAsia="en-US"/>
    </w:rPr>
  </w:style>
  <w:style w:type="paragraph" w:customStyle="1" w:styleId="DSECaption">
    <w:name w:val="DSE_Caption"/>
    <w:rsid w:val="003917F9"/>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3F580E"/>
    <w:pPr>
      <w:spacing w:line="1172" w:lineRule="atLeast"/>
    </w:pPr>
    <w:rPr>
      <w:rFonts w:ascii="Arial" w:hAnsi="Arial" w:cs="Arial"/>
      <w:color w:val="5A6E7E"/>
      <w:sz w:val="96"/>
      <w:szCs w:val="24"/>
      <w:lang w:eastAsia="en-US"/>
    </w:rPr>
  </w:style>
  <w:style w:type="paragraph" w:customStyle="1" w:styleId="DSECertHAWhite">
    <w:name w:val="DSE_CertHAWhite"/>
    <w:semiHidden/>
    <w:rsid w:val="004578FA"/>
    <w:pPr>
      <w:spacing w:line="1172" w:lineRule="exact"/>
    </w:pPr>
    <w:rPr>
      <w:rFonts w:ascii="Arial" w:hAnsi="Arial" w:cs="Arial"/>
      <w:color w:val="FFFFFF"/>
      <w:sz w:val="96"/>
      <w:szCs w:val="24"/>
      <w:lang w:eastAsia="en-US"/>
    </w:rPr>
  </w:style>
  <w:style w:type="paragraph" w:customStyle="1" w:styleId="DSECertHB">
    <w:name w:val="DSE_CertHB"/>
    <w:semiHidden/>
    <w:rsid w:val="004D0C33"/>
    <w:pPr>
      <w:spacing w:line="720" w:lineRule="atLeast"/>
    </w:pPr>
    <w:rPr>
      <w:rFonts w:ascii="Arial" w:hAnsi="Arial" w:cs="Arial"/>
      <w:color w:val="5A6E7E"/>
      <w:sz w:val="72"/>
      <w:szCs w:val="24"/>
      <w:lang w:eastAsia="en-US"/>
    </w:rPr>
  </w:style>
  <w:style w:type="paragraph" w:customStyle="1" w:styleId="DSECertHBWhite">
    <w:name w:val="DSE_CertHBWhite"/>
    <w:semiHidden/>
    <w:rsid w:val="004D0C33"/>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3F580E"/>
    <w:pPr>
      <w:spacing w:line="600" w:lineRule="atLeast"/>
    </w:pPr>
    <w:rPr>
      <w:rFonts w:ascii="Arial" w:hAnsi="Arial" w:cs="Arial"/>
      <w:color w:val="5A6E7E"/>
      <w:sz w:val="52"/>
      <w:szCs w:val="24"/>
      <w:lang w:eastAsia="en-US"/>
    </w:rPr>
  </w:style>
  <w:style w:type="character" w:customStyle="1" w:styleId="DSECertHCChar">
    <w:name w:val="DSE_CertHC Char"/>
    <w:basedOn w:val="DefaultParagraphFont"/>
    <w:link w:val="DSECertHC"/>
    <w:rsid w:val="003F580E"/>
    <w:rPr>
      <w:rFonts w:ascii="Arial" w:hAnsi="Arial" w:cs="Arial"/>
      <w:color w:val="5A6E7E"/>
      <w:sz w:val="52"/>
      <w:szCs w:val="24"/>
      <w:lang w:val="en-AU" w:eastAsia="en-US" w:bidi="ar-SA"/>
    </w:rPr>
  </w:style>
  <w:style w:type="paragraph" w:customStyle="1" w:styleId="DSECertHCWhite">
    <w:name w:val="DSE_CertHCWhite"/>
    <w:semiHidden/>
    <w:rsid w:val="004578FA"/>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3F580E"/>
    <w:pPr>
      <w:spacing w:line="440" w:lineRule="atLeast"/>
    </w:pPr>
    <w:rPr>
      <w:rFonts w:ascii="Arial" w:hAnsi="Arial" w:cs="Arial"/>
      <w:color w:val="5A6E7E"/>
      <w:sz w:val="36"/>
      <w:szCs w:val="24"/>
      <w:lang w:eastAsia="en-US"/>
    </w:rPr>
  </w:style>
  <w:style w:type="character" w:customStyle="1" w:styleId="DSECertHDChar">
    <w:name w:val="DSE_CertHD Char"/>
    <w:basedOn w:val="DefaultParagraphFont"/>
    <w:link w:val="DSECertHD"/>
    <w:rsid w:val="003F580E"/>
    <w:rPr>
      <w:rFonts w:ascii="Arial" w:hAnsi="Arial" w:cs="Arial"/>
      <w:color w:val="5A6E7E"/>
      <w:sz w:val="36"/>
      <w:szCs w:val="24"/>
      <w:lang w:val="en-AU" w:eastAsia="en-US" w:bidi="ar-SA"/>
    </w:rPr>
  </w:style>
  <w:style w:type="paragraph" w:customStyle="1" w:styleId="DSECertHDWhite">
    <w:name w:val="DSE_CertHDWhite"/>
    <w:semiHidden/>
    <w:rsid w:val="004578FA"/>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3F580E"/>
    <w:pPr>
      <w:spacing w:line="520" w:lineRule="atLeast"/>
    </w:pPr>
    <w:rPr>
      <w:rFonts w:ascii="Arial" w:hAnsi="Arial" w:cs="Arial"/>
      <w:color w:val="5A6E7E"/>
      <w:sz w:val="32"/>
      <w:szCs w:val="24"/>
      <w:lang w:eastAsia="en-US"/>
    </w:rPr>
  </w:style>
  <w:style w:type="character" w:customStyle="1" w:styleId="DSECertHEChar">
    <w:name w:val="DSE_CertHE Char"/>
    <w:basedOn w:val="DefaultParagraphFont"/>
    <w:link w:val="DSECertHE"/>
    <w:rsid w:val="003F580E"/>
    <w:rPr>
      <w:rFonts w:ascii="Arial" w:hAnsi="Arial" w:cs="Arial"/>
      <w:color w:val="5A6E7E"/>
      <w:sz w:val="32"/>
      <w:szCs w:val="24"/>
      <w:lang w:val="en-AU" w:eastAsia="en-US" w:bidi="ar-SA"/>
    </w:rPr>
  </w:style>
  <w:style w:type="paragraph" w:customStyle="1" w:styleId="DSECertHEWhite">
    <w:name w:val="DSE_CertHEWhite"/>
    <w:semiHidden/>
    <w:rsid w:val="004578FA"/>
    <w:pPr>
      <w:spacing w:line="520" w:lineRule="atLeast"/>
    </w:pPr>
    <w:rPr>
      <w:rFonts w:ascii="Arial" w:hAnsi="Arial" w:cs="Arial"/>
      <w:color w:val="FFFFFF"/>
      <w:sz w:val="32"/>
      <w:szCs w:val="24"/>
      <w:lang w:eastAsia="en-US"/>
    </w:rPr>
  </w:style>
  <w:style w:type="paragraph" w:customStyle="1" w:styleId="DSECertYr">
    <w:name w:val="DSE_CertYr"/>
    <w:semiHidden/>
    <w:rsid w:val="003F580E"/>
    <w:pPr>
      <w:spacing w:line="1440" w:lineRule="atLeast"/>
    </w:pPr>
    <w:rPr>
      <w:rFonts w:ascii="Arial" w:hAnsi="Arial" w:cs="Arial"/>
      <w:b/>
      <w:color w:val="5A6E7E"/>
      <w:sz w:val="124"/>
      <w:szCs w:val="24"/>
      <w:lang w:eastAsia="en-US"/>
    </w:rPr>
  </w:style>
  <w:style w:type="paragraph" w:customStyle="1" w:styleId="DSEListAlpha">
    <w:name w:val="DSE_ListAlpha"/>
    <w:basedOn w:val="DSEBullet2"/>
    <w:rsid w:val="005D35D2"/>
    <w:pPr>
      <w:tabs>
        <w:tab w:val="left" w:pos="340"/>
      </w:tabs>
      <w:ind w:left="340" w:hanging="170"/>
    </w:pPr>
  </w:style>
  <w:style w:type="paragraph" w:customStyle="1" w:styleId="DSEHA">
    <w:name w:val="DSE_HA"/>
    <w:next w:val="DSEBody"/>
    <w:rsid w:val="00D941C3"/>
    <w:pPr>
      <w:spacing w:after="600" w:line="460" w:lineRule="atLeast"/>
      <w:outlineLvl w:val="0"/>
    </w:pPr>
    <w:rPr>
      <w:rFonts w:ascii="Arial" w:hAnsi="Arial" w:cs="Arial"/>
      <w:color w:val="5A6E7E"/>
      <w:sz w:val="40"/>
      <w:szCs w:val="24"/>
      <w:lang w:val="en-US" w:eastAsia="en-US"/>
    </w:rPr>
  </w:style>
  <w:style w:type="paragraph" w:customStyle="1" w:styleId="DSEHB">
    <w:name w:val="DSE_HB"/>
    <w:next w:val="DSEBody"/>
    <w:rsid w:val="003F580E"/>
    <w:pPr>
      <w:spacing w:before="180" w:after="113" w:line="300" w:lineRule="atLeast"/>
      <w:outlineLvl w:val="0"/>
    </w:pPr>
    <w:rPr>
      <w:rFonts w:ascii="Arial" w:hAnsi="Arial" w:cs="Arial"/>
      <w:b/>
      <w:color w:val="5A6E7E"/>
      <w:sz w:val="24"/>
      <w:szCs w:val="24"/>
      <w:lang w:eastAsia="en-US"/>
    </w:rPr>
  </w:style>
  <w:style w:type="paragraph" w:customStyle="1" w:styleId="DSEHC">
    <w:name w:val="DSE_HC"/>
    <w:next w:val="DSEBody"/>
    <w:rsid w:val="00852A30"/>
    <w:pPr>
      <w:spacing w:before="140" w:after="57" w:line="220" w:lineRule="atLeast"/>
    </w:pPr>
    <w:rPr>
      <w:rFonts w:ascii="Arial" w:hAnsi="Arial" w:cs="Arial"/>
      <w:b/>
      <w:sz w:val="18"/>
      <w:szCs w:val="24"/>
      <w:lang w:eastAsia="en-US"/>
    </w:rPr>
  </w:style>
  <w:style w:type="paragraph" w:customStyle="1" w:styleId="DSEHD">
    <w:name w:val="DSE_HD"/>
    <w:next w:val="DSEBody"/>
    <w:rsid w:val="0067421F"/>
    <w:pPr>
      <w:spacing w:before="57" w:after="57" w:line="220" w:lineRule="atLeast"/>
    </w:pPr>
    <w:rPr>
      <w:rFonts w:ascii="Arial" w:hAnsi="Arial" w:cs="Arial"/>
      <w:b/>
      <w:i/>
      <w:sz w:val="18"/>
      <w:szCs w:val="24"/>
      <w:lang w:eastAsia="en-US"/>
    </w:rPr>
  </w:style>
  <w:style w:type="paragraph" w:customStyle="1" w:styleId="DSEPullout">
    <w:name w:val="DSE_Pullout"/>
    <w:rsid w:val="003F580E"/>
    <w:pPr>
      <w:spacing w:before="85" w:after="170" w:line="300" w:lineRule="atLeast"/>
    </w:pPr>
    <w:rPr>
      <w:rFonts w:ascii="Arial" w:hAnsi="Arial" w:cs="Arial"/>
      <w:color w:val="5A6E7E"/>
      <w:sz w:val="24"/>
      <w:szCs w:val="24"/>
      <w:lang w:eastAsia="en-US"/>
    </w:rPr>
  </w:style>
  <w:style w:type="paragraph" w:customStyle="1" w:styleId="DSETblBdyC">
    <w:name w:val="DSE_TblBdyC"/>
    <w:rsid w:val="00677847"/>
    <w:pPr>
      <w:spacing w:before="80" w:after="60"/>
      <w:jc w:val="center"/>
    </w:pPr>
    <w:rPr>
      <w:rFonts w:ascii="Arial" w:hAnsi="Arial" w:cs="Arial"/>
      <w:sz w:val="18"/>
      <w:szCs w:val="24"/>
      <w:lang w:eastAsia="en-US"/>
    </w:rPr>
  </w:style>
  <w:style w:type="paragraph" w:customStyle="1" w:styleId="DSETblBdyL">
    <w:name w:val="DSE_TblBdyL"/>
    <w:rsid w:val="00B025B6"/>
    <w:pPr>
      <w:spacing w:before="80" w:after="60"/>
    </w:pPr>
    <w:rPr>
      <w:rFonts w:ascii="Arial" w:hAnsi="Arial" w:cs="Arial"/>
      <w:sz w:val="18"/>
      <w:szCs w:val="24"/>
      <w:lang w:eastAsia="en-US"/>
    </w:rPr>
  </w:style>
  <w:style w:type="paragraph" w:customStyle="1" w:styleId="DSETblBdyR">
    <w:name w:val="DSE_TblBdyR"/>
    <w:rsid w:val="00B025B6"/>
    <w:pPr>
      <w:spacing w:before="80" w:after="60"/>
      <w:jc w:val="right"/>
    </w:pPr>
    <w:rPr>
      <w:rFonts w:ascii="Arial" w:hAnsi="Arial" w:cs="Arial"/>
      <w:sz w:val="18"/>
      <w:szCs w:val="24"/>
      <w:lang w:eastAsia="en-US"/>
    </w:rPr>
  </w:style>
  <w:style w:type="paragraph" w:customStyle="1" w:styleId="DSETblHdC">
    <w:name w:val="DSE_TblHdC"/>
    <w:rsid w:val="00677847"/>
    <w:pPr>
      <w:spacing w:before="60" w:after="60" w:line="230" w:lineRule="atLeast"/>
      <w:jc w:val="center"/>
    </w:pPr>
    <w:rPr>
      <w:rFonts w:ascii="Arial" w:hAnsi="Arial" w:cs="Arial"/>
      <w:b/>
      <w:sz w:val="19"/>
      <w:szCs w:val="24"/>
      <w:lang w:eastAsia="en-US"/>
    </w:rPr>
  </w:style>
  <w:style w:type="paragraph" w:customStyle="1" w:styleId="DSETblHdL">
    <w:name w:val="DSE_TblHdL"/>
    <w:rsid w:val="00677847"/>
    <w:pPr>
      <w:spacing w:before="60" w:after="60" w:line="230" w:lineRule="atLeast"/>
    </w:pPr>
    <w:rPr>
      <w:rFonts w:ascii="Arial" w:hAnsi="Arial" w:cs="Arial"/>
      <w:b/>
      <w:sz w:val="19"/>
      <w:szCs w:val="24"/>
      <w:lang w:eastAsia="en-US"/>
    </w:rPr>
  </w:style>
  <w:style w:type="paragraph" w:customStyle="1" w:styleId="DSETblHdR">
    <w:name w:val="DSE_TblHdR"/>
    <w:rsid w:val="00677847"/>
    <w:pPr>
      <w:spacing w:before="60" w:after="60" w:line="230" w:lineRule="atLeast"/>
      <w:jc w:val="right"/>
    </w:pPr>
    <w:rPr>
      <w:rFonts w:ascii="Arial" w:hAnsi="Arial" w:cs="Arial"/>
      <w:b/>
      <w:sz w:val="19"/>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basedOn w:val="DefaultParagraphFont"/>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 w:val="20"/>
      <w:szCs w:val="20"/>
    </w:rPr>
  </w:style>
  <w:style w:type="character" w:styleId="FollowedHyperlink">
    <w:name w:val="FollowedHyperlink"/>
    <w:basedOn w:val="DefaultParagraphFont"/>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basedOn w:val="DefaultParagraphFont"/>
    <w:semiHidden/>
    <w:rsid w:val="004578FA"/>
    <w:rPr>
      <w:i/>
      <w:iCs/>
    </w:rPr>
  </w:style>
  <w:style w:type="character" w:styleId="HTMLCode">
    <w:name w:val="HTML Code"/>
    <w:basedOn w:val="DefaultParagraphFont"/>
    <w:semiHidden/>
    <w:rsid w:val="004578FA"/>
    <w:rPr>
      <w:rFonts w:ascii="Courier New" w:hAnsi="Courier New" w:cs="Courier New"/>
      <w:sz w:val="20"/>
      <w:szCs w:val="20"/>
    </w:rPr>
  </w:style>
  <w:style w:type="character" w:styleId="HTMLDefinition">
    <w:name w:val="HTML Definition"/>
    <w:basedOn w:val="DefaultParagraphFont"/>
    <w:semiHidden/>
    <w:rsid w:val="004578FA"/>
    <w:rPr>
      <w:i/>
      <w:iCs/>
    </w:rPr>
  </w:style>
  <w:style w:type="character" w:styleId="HTMLKeyboard">
    <w:name w:val="HTML Keyboard"/>
    <w:basedOn w:val="DefaultParagraphFont"/>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 w:val="20"/>
      <w:szCs w:val="20"/>
    </w:rPr>
  </w:style>
  <w:style w:type="character" w:styleId="HTMLSample">
    <w:name w:val="HTML Sample"/>
    <w:basedOn w:val="DefaultParagraphFont"/>
    <w:semiHidden/>
    <w:rsid w:val="004578FA"/>
    <w:rPr>
      <w:rFonts w:ascii="Courier New" w:hAnsi="Courier New" w:cs="Courier New"/>
    </w:rPr>
  </w:style>
  <w:style w:type="character" w:styleId="HTMLTypewriter">
    <w:name w:val="HTML Typewriter"/>
    <w:basedOn w:val="DefaultParagraphFont"/>
    <w:semiHidden/>
    <w:rsid w:val="004578FA"/>
    <w:rPr>
      <w:rFonts w:ascii="Courier New" w:hAnsi="Courier New" w:cs="Courier New"/>
      <w:sz w:val="20"/>
      <w:szCs w:val="20"/>
    </w:rPr>
  </w:style>
  <w:style w:type="character" w:styleId="HTMLVariable">
    <w:name w:val="HTML Variable"/>
    <w:basedOn w:val="DefaultParagraphFont"/>
    <w:semiHidden/>
    <w:rsid w:val="004578FA"/>
    <w:rPr>
      <w:i/>
      <w:iCs/>
    </w:rPr>
  </w:style>
  <w:style w:type="character" w:styleId="Hyperlink">
    <w:name w:val="Hyperlink"/>
    <w:basedOn w:val="DefaultParagraphFont"/>
    <w:uiPriority w:val="99"/>
    <w:rsid w:val="004578FA"/>
    <w:rPr>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 w:val="20"/>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basedOn w:val="DefaultParagraphFont"/>
    <w:qFormat/>
    <w:rsid w:val="004578FA"/>
    <w:rPr>
      <w:b/>
      <w:bCs/>
    </w:rPr>
  </w:style>
  <w:style w:type="paragraph" w:styleId="Subtitle">
    <w:name w:val="Subtitle"/>
    <w:basedOn w:val="Normal"/>
    <w:qFormat/>
    <w:rsid w:val="004578FA"/>
    <w:pPr>
      <w:spacing w:after="60"/>
      <w:jc w:val="center"/>
      <w:outlineLvl w:val="1"/>
    </w:pPr>
    <w:rPr>
      <w:rFonts w:ascii="Arial" w:hAnsi="Arial" w:cs="Arial"/>
    </w:rPr>
  </w:style>
  <w:style w:type="table" w:styleId="Table3Deffects1">
    <w:name w:val="Table 3D effects 1"/>
    <w:basedOn w:val="TableNormal"/>
    <w:semiHidden/>
    <w:rsid w:val="004578F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578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4578FA"/>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4578FA"/>
    <w:pPr>
      <w:spacing w:before="240" w:after="60"/>
      <w:jc w:val="center"/>
      <w:outlineLvl w:val="0"/>
    </w:pPr>
    <w:rPr>
      <w:rFonts w:ascii="Arial" w:hAnsi="Arial" w:cs="Arial"/>
      <w:b/>
      <w:bCs/>
      <w:kern w:val="28"/>
      <w:sz w:val="32"/>
      <w:szCs w:val="32"/>
    </w:rPr>
  </w:style>
  <w:style w:type="paragraph" w:customStyle="1" w:styleId="DSEFooter">
    <w:name w:val="DSE_Footer"/>
    <w:rsid w:val="004D5834"/>
    <w:pPr>
      <w:tabs>
        <w:tab w:val="right" w:pos="9639"/>
      </w:tabs>
      <w:jc w:val="center"/>
    </w:pPr>
    <w:rPr>
      <w:rFonts w:ascii="Arial" w:hAnsi="Arial"/>
      <w:sz w:val="14"/>
      <w:szCs w:val="24"/>
      <w:lang w:eastAsia="en-US"/>
    </w:rPr>
  </w:style>
  <w:style w:type="paragraph" w:customStyle="1" w:styleId="DSEHeader">
    <w:name w:val="DSE_Header"/>
    <w:rsid w:val="0025127D"/>
    <w:rPr>
      <w:sz w:val="24"/>
      <w:szCs w:val="24"/>
      <w:lang w:eastAsia="en-US"/>
    </w:rPr>
  </w:style>
  <w:style w:type="paragraph" w:customStyle="1" w:styleId="DSEHidden">
    <w:name w:val="DSE_Hidden"/>
    <w:rsid w:val="00235C7F"/>
    <w:rPr>
      <w:rFonts w:ascii="Arial" w:hAnsi="Arial" w:cs="Arial"/>
      <w:vanish/>
      <w:sz w:val="16"/>
      <w:szCs w:val="18"/>
      <w:lang w:eastAsia="en-US"/>
    </w:rPr>
  </w:style>
  <w:style w:type="character" w:customStyle="1" w:styleId="DSERptPgNum">
    <w:name w:val="DSE_RptPgNum"/>
    <w:basedOn w:val="DefaultParagraphFont"/>
    <w:rsid w:val="003F580E"/>
    <w:rPr>
      <w:color w:val="5A6E7E"/>
    </w:rPr>
  </w:style>
  <w:style w:type="paragraph" w:customStyle="1" w:styleId="DSEListNum">
    <w:name w:val="DSE_ListNum"/>
    <w:rsid w:val="005D35D2"/>
    <w:pPr>
      <w:numPr>
        <w:ilvl w:val="2"/>
        <w:numId w:val="19"/>
      </w:numPr>
      <w:tabs>
        <w:tab w:val="clear" w:pos="1800"/>
        <w:tab w:val="num" w:pos="284"/>
      </w:tabs>
      <w:spacing w:after="113" w:line="220" w:lineRule="atLeast"/>
      <w:ind w:left="284" w:hanging="284"/>
    </w:pPr>
    <w:rPr>
      <w:rFonts w:ascii="Arial" w:hAnsi="Arial" w:cs="Arial"/>
      <w:sz w:val="18"/>
      <w:szCs w:val="18"/>
      <w:lang w:eastAsia="en-US"/>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basedOn w:val="DefaultParagraphFont"/>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 w:val="20"/>
      <w:szCs w:val="20"/>
    </w:rPr>
  </w:style>
  <w:style w:type="paragraph" w:styleId="TOC2">
    <w:name w:val="toc 2"/>
    <w:basedOn w:val="Normal"/>
    <w:next w:val="Normal"/>
    <w:autoRedefine/>
    <w:uiPriority w:val="39"/>
    <w:rsid w:val="003F4DA9"/>
    <w:pPr>
      <w:tabs>
        <w:tab w:val="right" w:pos="9629"/>
      </w:tabs>
      <w:spacing w:after="60"/>
    </w:pPr>
    <w:rPr>
      <w:rFonts w:ascii="Arial" w:hAnsi="Arial"/>
      <w:noProof/>
      <w:sz w:val="18"/>
      <w:szCs w:val="18"/>
      <w:u w:color="00AAA1"/>
    </w:rPr>
  </w:style>
  <w:style w:type="paragraph" w:styleId="TOC1">
    <w:name w:val="toc 1"/>
    <w:basedOn w:val="Normal"/>
    <w:next w:val="Normal"/>
    <w:autoRedefine/>
    <w:uiPriority w:val="39"/>
    <w:rsid w:val="003F580E"/>
    <w:pPr>
      <w:pBdr>
        <w:bottom w:val="dotted" w:sz="12" w:space="3" w:color="5A6E7E"/>
      </w:pBdr>
      <w:tabs>
        <w:tab w:val="right" w:pos="9629"/>
      </w:tabs>
      <w:spacing w:before="320" w:after="120"/>
    </w:pPr>
    <w:rPr>
      <w:rFonts w:ascii="Arial" w:hAnsi="Arial"/>
      <w:b/>
      <w:noProof/>
      <w:color w:val="5A6E7E"/>
      <w:sz w:val="18"/>
      <w:lang w:val="en-US"/>
    </w:rPr>
  </w:style>
  <w:style w:type="paragraph" w:styleId="TOC3">
    <w:name w:val="toc 3"/>
    <w:basedOn w:val="Normal"/>
    <w:next w:val="Normal"/>
    <w:autoRedefine/>
    <w:semiHidden/>
    <w:rsid w:val="00A15796"/>
    <w:pPr>
      <w:ind w:left="480"/>
    </w:pPr>
    <w:rPr>
      <w:rFonts w:ascii="Arial" w:hAnsi="Arial"/>
    </w:rPr>
  </w:style>
  <w:style w:type="paragraph" w:customStyle="1" w:styleId="DSETOCTitle">
    <w:name w:val="DSE_TOCTitle"/>
    <w:basedOn w:val="DSEHA"/>
    <w:next w:val="DSEBody"/>
    <w:rsid w:val="00B04420"/>
  </w:style>
  <w:style w:type="paragraph" w:customStyle="1" w:styleId="DSETableTitle">
    <w:name w:val="DSE_TableTitle"/>
    <w:rsid w:val="00AF7962"/>
    <w:pPr>
      <w:spacing w:after="120" w:line="220" w:lineRule="atLeast"/>
    </w:pPr>
    <w:rPr>
      <w:rFonts w:ascii="Arial" w:hAnsi="Arial" w:cs="Arial"/>
      <w:b/>
      <w:color w:val="404040"/>
      <w:sz w:val="18"/>
      <w:szCs w:val="18"/>
      <w:lang w:eastAsia="en-US"/>
    </w:rPr>
  </w:style>
  <w:style w:type="table" w:customStyle="1" w:styleId="DSETable">
    <w:name w:val="DSE_Table"/>
    <w:basedOn w:val="TableGrid"/>
    <w:rsid w:val="003F580E"/>
    <w:tblPr>
      <w:tblStyleRowBandSize w:val="1"/>
      <w:tblStyleColBandSize w:val="1"/>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rPr>
      <w:tblPr/>
      <w:tcPr>
        <w:shd w:val="clear" w:color="auto" w:fill="9FAAB6"/>
      </w:tcPr>
    </w:tblStylePr>
    <w:tblStylePr w:type="lastRow">
      <w:tblPr/>
      <w:tcPr>
        <w:tcBorders>
          <w:bottom w:val="single" w:sz="4" w:space="0" w:color="5A6E7E"/>
        </w:tcBorders>
      </w:tcPr>
    </w:tblStylePr>
    <w:tblStylePr w:type="firstCol">
      <w:tblPr/>
      <w:tcPr>
        <w:shd w:val="clear" w:color="auto" w:fill="E4E7EA"/>
      </w:tcPr>
    </w:tblStylePr>
    <w:tblStylePr w:type="band2Vert">
      <w:tblPr/>
      <w:tcPr>
        <w:shd w:val="clear" w:color="auto" w:fill="E4E7EA"/>
      </w:tcPr>
    </w:tblStylePr>
    <w:tblStylePr w:type="band1Horz">
      <w:tblPr/>
      <w:tcPr>
        <w:tcBorders>
          <w:bottom w:val="single" w:sz="4" w:space="0" w:color="5A6E7E"/>
          <w:insideH w:val="nil"/>
        </w:tcBorders>
      </w:tcPr>
    </w:tblStylePr>
    <w:tblStylePr w:type="band2Horz">
      <w:tblPr/>
      <w:tcPr>
        <w:tcBorders>
          <w:bottom w:val="single" w:sz="4" w:space="0" w:color="5A6E7E"/>
          <w:insideH w:val="nil"/>
        </w:tcBorders>
      </w:tcPr>
    </w:tblStylePr>
  </w:style>
  <w:style w:type="paragraph" w:styleId="BalloonText">
    <w:name w:val="Balloon Text"/>
    <w:basedOn w:val="Normal"/>
    <w:link w:val="BalloonTextChar"/>
    <w:rsid w:val="00A74EE5"/>
    <w:rPr>
      <w:rFonts w:ascii="Tahoma" w:hAnsi="Tahoma" w:cs="Tahoma"/>
      <w:sz w:val="16"/>
      <w:szCs w:val="16"/>
    </w:rPr>
  </w:style>
  <w:style w:type="character" w:customStyle="1" w:styleId="BalloonTextChar">
    <w:name w:val="Balloon Text Char"/>
    <w:basedOn w:val="DefaultParagraphFont"/>
    <w:link w:val="BalloonText"/>
    <w:rsid w:val="00A74EE5"/>
    <w:rPr>
      <w:rFonts w:ascii="Tahoma" w:hAnsi="Tahoma" w:cs="Tahoma"/>
      <w:sz w:val="16"/>
      <w:szCs w:val="16"/>
      <w:lang w:eastAsia="en-US"/>
    </w:rPr>
  </w:style>
  <w:style w:type="paragraph" w:styleId="EndnoteText">
    <w:name w:val="endnote text"/>
    <w:basedOn w:val="Normal"/>
    <w:link w:val="EndnoteTextChar"/>
    <w:rsid w:val="00D452E2"/>
    <w:rPr>
      <w:sz w:val="20"/>
      <w:szCs w:val="20"/>
    </w:rPr>
  </w:style>
  <w:style w:type="character" w:customStyle="1" w:styleId="EndnoteTextChar">
    <w:name w:val="Endnote Text Char"/>
    <w:basedOn w:val="DefaultParagraphFont"/>
    <w:link w:val="EndnoteText"/>
    <w:rsid w:val="00D452E2"/>
    <w:rPr>
      <w:lang w:eastAsia="en-US"/>
    </w:rPr>
  </w:style>
  <w:style w:type="character" w:styleId="EndnoteReference">
    <w:name w:val="endnote reference"/>
    <w:basedOn w:val="DefaultParagraphFont"/>
    <w:rsid w:val="00D452E2"/>
    <w:rPr>
      <w:vertAlign w:val="superscript"/>
    </w:rPr>
  </w:style>
  <w:style w:type="paragraph" w:styleId="Caption">
    <w:name w:val="caption"/>
    <w:basedOn w:val="Normal"/>
    <w:next w:val="Normal"/>
    <w:unhideWhenUsed/>
    <w:qFormat/>
    <w:rsid w:val="000C76F6"/>
    <w:pPr>
      <w:spacing w:after="200"/>
    </w:pPr>
    <w:rPr>
      <w:b/>
      <w:bCs/>
      <w:color w:val="4F81BD" w:themeColor="accent1"/>
      <w:sz w:val="18"/>
      <w:szCs w:val="18"/>
    </w:rPr>
  </w:style>
  <w:style w:type="character" w:styleId="CommentReference">
    <w:name w:val="annotation reference"/>
    <w:basedOn w:val="DefaultParagraphFont"/>
    <w:rsid w:val="00653667"/>
    <w:rPr>
      <w:sz w:val="16"/>
      <w:szCs w:val="16"/>
    </w:rPr>
  </w:style>
  <w:style w:type="paragraph" w:styleId="CommentText">
    <w:name w:val="annotation text"/>
    <w:basedOn w:val="Normal"/>
    <w:link w:val="CommentTextChar"/>
    <w:rsid w:val="00653667"/>
    <w:rPr>
      <w:sz w:val="20"/>
      <w:szCs w:val="20"/>
    </w:rPr>
  </w:style>
  <w:style w:type="character" w:customStyle="1" w:styleId="CommentTextChar">
    <w:name w:val="Comment Text Char"/>
    <w:basedOn w:val="DefaultParagraphFont"/>
    <w:link w:val="CommentText"/>
    <w:rsid w:val="00653667"/>
    <w:rPr>
      <w:lang w:eastAsia="en-US"/>
    </w:rPr>
  </w:style>
  <w:style w:type="paragraph" w:styleId="CommentSubject">
    <w:name w:val="annotation subject"/>
    <w:basedOn w:val="CommentText"/>
    <w:next w:val="CommentText"/>
    <w:link w:val="CommentSubjectChar"/>
    <w:rsid w:val="00653667"/>
    <w:rPr>
      <w:b/>
      <w:bCs/>
    </w:rPr>
  </w:style>
  <w:style w:type="character" w:customStyle="1" w:styleId="CommentSubjectChar">
    <w:name w:val="Comment Subject Char"/>
    <w:basedOn w:val="CommentTextChar"/>
    <w:link w:val="CommentSubject"/>
    <w:rsid w:val="00653667"/>
    <w:rPr>
      <w:b/>
      <w:bCs/>
      <w:lang w:eastAsia="en-US"/>
    </w:rPr>
  </w:style>
  <w:style w:type="paragraph" w:styleId="TableofFigures">
    <w:name w:val="table of figures"/>
    <w:basedOn w:val="DSEBody"/>
    <w:next w:val="Normal"/>
    <w:uiPriority w:val="99"/>
    <w:rsid w:val="003F4DA9"/>
    <w:pPr>
      <w:ind w:right="1134"/>
    </w:pPr>
  </w:style>
  <w:style w:type="paragraph" w:styleId="Revision">
    <w:name w:val="Revision"/>
    <w:hidden/>
    <w:uiPriority w:val="99"/>
    <w:semiHidden/>
    <w:rsid w:val="009A6312"/>
    <w:rPr>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 w:val="22"/>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SECertHFWhite">
    <w:name w:val="DSE_CertHFWhite"/>
    <w:semiHidden/>
    <w:rsid w:val="00E607E1"/>
    <w:pPr>
      <w:spacing w:line="400" w:lineRule="atLeast"/>
    </w:pPr>
    <w:rPr>
      <w:rFonts w:ascii="Arial" w:hAnsi="Arial" w:cs="Arial"/>
      <w:color w:val="FFFFFF"/>
      <w:sz w:val="28"/>
      <w:szCs w:val="24"/>
      <w:lang w:eastAsia="en-US"/>
    </w:rPr>
  </w:style>
  <w:style w:type="paragraph" w:customStyle="1" w:styleId="DSEBullet2">
    <w:name w:val="DSE_Bullet2"/>
    <w:basedOn w:val="DSEBullet"/>
    <w:rsid w:val="005D35D2"/>
    <w:pPr>
      <w:numPr>
        <w:ilvl w:val="1"/>
        <w:numId w:val="19"/>
      </w:numPr>
      <w:tabs>
        <w:tab w:val="clear" w:pos="170"/>
      </w:tabs>
    </w:pPr>
  </w:style>
  <w:style w:type="paragraph" w:styleId="Header">
    <w:name w:val="header"/>
    <w:basedOn w:val="Normal"/>
    <w:semiHidden/>
    <w:rsid w:val="00CA77CB"/>
    <w:pPr>
      <w:tabs>
        <w:tab w:val="center" w:pos="4320"/>
        <w:tab w:val="right" w:pos="8640"/>
      </w:tabs>
    </w:pPr>
  </w:style>
  <w:style w:type="paragraph" w:styleId="Footer">
    <w:name w:val="footer"/>
    <w:basedOn w:val="Normal"/>
    <w:semiHidden/>
    <w:rsid w:val="00CA77CB"/>
    <w:pPr>
      <w:tabs>
        <w:tab w:val="center" w:pos="4320"/>
        <w:tab w:val="right" w:pos="8640"/>
      </w:tabs>
    </w:pPr>
  </w:style>
  <w:style w:type="paragraph" w:customStyle="1" w:styleId="DSEBody">
    <w:name w:val="DSE_Body"/>
    <w:rsid w:val="005A2157"/>
    <w:pPr>
      <w:spacing w:after="113" w:line="240" w:lineRule="atLeast"/>
    </w:pPr>
    <w:rPr>
      <w:rFonts w:ascii="Arial" w:hAnsi="Arial" w:cs="Arial"/>
      <w:sz w:val="18"/>
      <w:szCs w:val="24"/>
      <w:lang w:eastAsia="en-US"/>
    </w:rPr>
  </w:style>
  <w:style w:type="paragraph" w:customStyle="1" w:styleId="DSEBullet">
    <w:name w:val="DSE_Bullet"/>
    <w:link w:val="DSEBulletChar"/>
    <w:rsid w:val="000E6BF2"/>
    <w:pPr>
      <w:numPr>
        <w:numId w:val="16"/>
      </w:numPr>
      <w:tabs>
        <w:tab w:val="left" w:pos="170"/>
      </w:tabs>
      <w:spacing w:after="113" w:line="220" w:lineRule="atLeast"/>
    </w:pPr>
    <w:rPr>
      <w:rFonts w:ascii="Arial" w:hAnsi="Arial" w:cs="Arial"/>
      <w:sz w:val="18"/>
      <w:szCs w:val="24"/>
      <w:lang w:eastAsia="en-US"/>
    </w:rPr>
  </w:style>
  <w:style w:type="character" w:customStyle="1" w:styleId="DSEBulletChar">
    <w:name w:val="DSE_Bullet Char"/>
    <w:basedOn w:val="DefaultParagraphFont"/>
    <w:link w:val="DSEBullet"/>
    <w:rsid w:val="000E6BF2"/>
    <w:rPr>
      <w:rFonts w:ascii="Arial" w:hAnsi="Arial" w:cs="Arial"/>
      <w:sz w:val="18"/>
      <w:szCs w:val="24"/>
      <w:lang w:eastAsia="en-US"/>
    </w:rPr>
  </w:style>
  <w:style w:type="paragraph" w:customStyle="1" w:styleId="DSECaption">
    <w:name w:val="DSE_Caption"/>
    <w:rsid w:val="003917F9"/>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3F580E"/>
    <w:pPr>
      <w:spacing w:line="1172" w:lineRule="atLeast"/>
    </w:pPr>
    <w:rPr>
      <w:rFonts w:ascii="Arial" w:hAnsi="Arial" w:cs="Arial"/>
      <w:color w:val="5A6E7E"/>
      <w:sz w:val="96"/>
      <w:szCs w:val="24"/>
      <w:lang w:eastAsia="en-US"/>
    </w:rPr>
  </w:style>
  <w:style w:type="paragraph" w:customStyle="1" w:styleId="DSECertHAWhite">
    <w:name w:val="DSE_CertHAWhite"/>
    <w:semiHidden/>
    <w:rsid w:val="004578FA"/>
    <w:pPr>
      <w:spacing w:line="1172" w:lineRule="exact"/>
    </w:pPr>
    <w:rPr>
      <w:rFonts w:ascii="Arial" w:hAnsi="Arial" w:cs="Arial"/>
      <w:color w:val="FFFFFF"/>
      <w:sz w:val="96"/>
      <w:szCs w:val="24"/>
      <w:lang w:eastAsia="en-US"/>
    </w:rPr>
  </w:style>
  <w:style w:type="paragraph" w:customStyle="1" w:styleId="DSECertHB">
    <w:name w:val="DSE_CertHB"/>
    <w:semiHidden/>
    <w:rsid w:val="004D0C33"/>
    <w:pPr>
      <w:spacing w:line="720" w:lineRule="atLeast"/>
    </w:pPr>
    <w:rPr>
      <w:rFonts w:ascii="Arial" w:hAnsi="Arial" w:cs="Arial"/>
      <w:color w:val="5A6E7E"/>
      <w:sz w:val="72"/>
      <w:szCs w:val="24"/>
      <w:lang w:eastAsia="en-US"/>
    </w:rPr>
  </w:style>
  <w:style w:type="paragraph" w:customStyle="1" w:styleId="DSECertHBWhite">
    <w:name w:val="DSE_CertHBWhite"/>
    <w:semiHidden/>
    <w:rsid w:val="004D0C33"/>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3F580E"/>
    <w:pPr>
      <w:spacing w:line="600" w:lineRule="atLeast"/>
    </w:pPr>
    <w:rPr>
      <w:rFonts w:ascii="Arial" w:hAnsi="Arial" w:cs="Arial"/>
      <w:color w:val="5A6E7E"/>
      <w:sz w:val="52"/>
      <w:szCs w:val="24"/>
      <w:lang w:eastAsia="en-US"/>
    </w:rPr>
  </w:style>
  <w:style w:type="character" w:customStyle="1" w:styleId="DSECertHCChar">
    <w:name w:val="DSE_CertHC Char"/>
    <w:basedOn w:val="DefaultParagraphFont"/>
    <w:link w:val="DSECertHC"/>
    <w:rsid w:val="003F580E"/>
    <w:rPr>
      <w:rFonts w:ascii="Arial" w:hAnsi="Arial" w:cs="Arial"/>
      <w:color w:val="5A6E7E"/>
      <w:sz w:val="52"/>
      <w:szCs w:val="24"/>
      <w:lang w:val="en-AU" w:eastAsia="en-US" w:bidi="ar-SA"/>
    </w:rPr>
  </w:style>
  <w:style w:type="paragraph" w:customStyle="1" w:styleId="DSECertHCWhite">
    <w:name w:val="DSE_CertHCWhite"/>
    <w:semiHidden/>
    <w:rsid w:val="004578FA"/>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3F580E"/>
    <w:pPr>
      <w:spacing w:line="440" w:lineRule="atLeast"/>
    </w:pPr>
    <w:rPr>
      <w:rFonts w:ascii="Arial" w:hAnsi="Arial" w:cs="Arial"/>
      <w:color w:val="5A6E7E"/>
      <w:sz w:val="36"/>
      <w:szCs w:val="24"/>
      <w:lang w:eastAsia="en-US"/>
    </w:rPr>
  </w:style>
  <w:style w:type="character" w:customStyle="1" w:styleId="DSECertHDChar">
    <w:name w:val="DSE_CertHD Char"/>
    <w:basedOn w:val="DefaultParagraphFont"/>
    <w:link w:val="DSECertHD"/>
    <w:rsid w:val="003F580E"/>
    <w:rPr>
      <w:rFonts w:ascii="Arial" w:hAnsi="Arial" w:cs="Arial"/>
      <w:color w:val="5A6E7E"/>
      <w:sz w:val="36"/>
      <w:szCs w:val="24"/>
      <w:lang w:val="en-AU" w:eastAsia="en-US" w:bidi="ar-SA"/>
    </w:rPr>
  </w:style>
  <w:style w:type="paragraph" w:customStyle="1" w:styleId="DSECertHDWhite">
    <w:name w:val="DSE_CertHDWhite"/>
    <w:semiHidden/>
    <w:rsid w:val="004578FA"/>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3F580E"/>
    <w:pPr>
      <w:spacing w:line="520" w:lineRule="atLeast"/>
    </w:pPr>
    <w:rPr>
      <w:rFonts w:ascii="Arial" w:hAnsi="Arial" w:cs="Arial"/>
      <w:color w:val="5A6E7E"/>
      <w:sz w:val="32"/>
      <w:szCs w:val="24"/>
      <w:lang w:eastAsia="en-US"/>
    </w:rPr>
  </w:style>
  <w:style w:type="character" w:customStyle="1" w:styleId="DSECertHEChar">
    <w:name w:val="DSE_CertHE Char"/>
    <w:basedOn w:val="DefaultParagraphFont"/>
    <w:link w:val="DSECertHE"/>
    <w:rsid w:val="003F580E"/>
    <w:rPr>
      <w:rFonts w:ascii="Arial" w:hAnsi="Arial" w:cs="Arial"/>
      <w:color w:val="5A6E7E"/>
      <w:sz w:val="32"/>
      <w:szCs w:val="24"/>
      <w:lang w:val="en-AU" w:eastAsia="en-US" w:bidi="ar-SA"/>
    </w:rPr>
  </w:style>
  <w:style w:type="paragraph" w:customStyle="1" w:styleId="DSECertHEWhite">
    <w:name w:val="DSE_CertHEWhite"/>
    <w:semiHidden/>
    <w:rsid w:val="004578FA"/>
    <w:pPr>
      <w:spacing w:line="520" w:lineRule="atLeast"/>
    </w:pPr>
    <w:rPr>
      <w:rFonts w:ascii="Arial" w:hAnsi="Arial" w:cs="Arial"/>
      <w:color w:val="FFFFFF"/>
      <w:sz w:val="32"/>
      <w:szCs w:val="24"/>
      <w:lang w:eastAsia="en-US"/>
    </w:rPr>
  </w:style>
  <w:style w:type="paragraph" w:customStyle="1" w:styleId="DSECertYr">
    <w:name w:val="DSE_CertYr"/>
    <w:semiHidden/>
    <w:rsid w:val="003F580E"/>
    <w:pPr>
      <w:spacing w:line="1440" w:lineRule="atLeast"/>
    </w:pPr>
    <w:rPr>
      <w:rFonts w:ascii="Arial" w:hAnsi="Arial" w:cs="Arial"/>
      <w:b/>
      <w:color w:val="5A6E7E"/>
      <w:sz w:val="124"/>
      <w:szCs w:val="24"/>
      <w:lang w:eastAsia="en-US"/>
    </w:rPr>
  </w:style>
  <w:style w:type="paragraph" w:customStyle="1" w:styleId="DSEListAlpha">
    <w:name w:val="DSE_ListAlpha"/>
    <w:basedOn w:val="DSEBullet2"/>
    <w:rsid w:val="005D35D2"/>
    <w:pPr>
      <w:tabs>
        <w:tab w:val="left" w:pos="340"/>
      </w:tabs>
      <w:ind w:left="340" w:hanging="170"/>
    </w:pPr>
  </w:style>
  <w:style w:type="paragraph" w:customStyle="1" w:styleId="DSEHA">
    <w:name w:val="DSE_HA"/>
    <w:next w:val="DSEBody"/>
    <w:rsid w:val="00D941C3"/>
    <w:pPr>
      <w:spacing w:after="600" w:line="460" w:lineRule="atLeast"/>
      <w:outlineLvl w:val="0"/>
    </w:pPr>
    <w:rPr>
      <w:rFonts w:ascii="Arial" w:hAnsi="Arial" w:cs="Arial"/>
      <w:color w:val="5A6E7E"/>
      <w:sz w:val="40"/>
      <w:szCs w:val="24"/>
      <w:lang w:val="en-US" w:eastAsia="en-US"/>
    </w:rPr>
  </w:style>
  <w:style w:type="paragraph" w:customStyle="1" w:styleId="DSEHB">
    <w:name w:val="DSE_HB"/>
    <w:next w:val="DSEBody"/>
    <w:rsid w:val="003F580E"/>
    <w:pPr>
      <w:spacing w:before="180" w:after="113" w:line="300" w:lineRule="atLeast"/>
      <w:outlineLvl w:val="0"/>
    </w:pPr>
    <w:rPr>
      <w:rFonts w:ascii="Arial" w:hAnsi="Arial" w:cs="Arial"/>
      <w:b/>
      <w:color w:val="5A6E7E"/>
      <w:sz w:val="24"/>
      <w:szCs w:val="24"/>
      <w:lang w:eastAsia="en-US"/>
    </w:rPr>
  </w:style>
  <w:style w:type="paragraph" w:customStyle="1" w:styleId="DSEHC">
    <w:name w:val="DSE_HC"/>
    <w:next w:val="DSEBody"/>
    <w:rsid w:val="00852A30"/>
    <w:pPr>
      <w:spacing w:before="140" w:after="57" w:line="220" w:lineRule="atLeast"/>
    </w:pPr>
    <w:rPr>
      <w:rFonts w:ascii="Arial" w:hAnsi="Arial" w:cs="Arial"/>
      <w:b/>
      <w:sz w:val="18"/>
      <w:szCs w:val="24"/>
      <w:lang w:eastAsia="en-US"/>
    </w:rPr>
  </w:style>
  <w:style w:type="paragraph" w:customStyle="1" w:styleId="DSEHD">
    <w:name w:val="DSE_HD"/>
    <w:next w:val="DSEBody"/>
    <w:rsid w:val="0067421F"/>
    <w:pPr>
      <w:spacing w:before="57" w:after="57" w:line="220" w:lineRule="atLeast"/>
    </w:pPr>
    <w:rPr>
      <w:rFonts w:ascii="Arial" w:hAnsi="Arial" w:cs="Arial"/>
      <w:b/>
      <w:i/>
      <w:sz w:val="18"/>
      <w:szCs w:val="24"/>
      <w:lang w:eastAsia="en-US"/>
    </w:rPr>
  </w:style>
  <w:style w:type="paragraph" w:customStyle="1" w:styleId="DSEPullout">
    <w:name w:val="DSE_Pullout"/>
    <w:rsid w:val="003F580E"/>
    <w:pPr>
      <w:spacing w:before="85" w:after="170" w:line="300" w:lineRule="atLeast"/>
    </w:pPr>
    <w:rPr>
      <w:rFonts w:ascii="Arial" w:hAnsi="Arial" w:cs="Arial"/>
      <w:color w:val="5A6E7E"/>
      <w:sz w:val="24"/>
      <w:szCs w:val="24"/>
      <w:lang w:eastAsia="en-US"/>
    </w:rPr>
  </w:style>
  <w:style w:type="paragraph" w:customStyle="1" w:styleId="DSETblBdyC">
    <w:name w:val="DSE_TblBdyC"/>
    <w:rsid w:val="00677847"/>
    <w:pPr>
      <w:spacing w:before="80" w:after="60"/>
      <w:jc w:val="center"/>
    </w:pPr>
    <w:rPr>
      <w:rFonts w:ascii="Arial" w:hAnsi="Arial" w:cs="Arial"/>
      <w:sz w:val="18"/>
      <w:szCs w:val="24"/>
      <w:lang w:eastAsia="en-US"/>
    </w:rPr>
  </w:style>
  <w:style w:type="paragraph" w:customStyle="1" w:styleId="DSETblBdyL">
    <w:name w:val="DSE_TblBdyL"/>
    <w:rsid w:val="00B025B6"/>
    <w:pPr>
      <w:spacing w:before="80" w:after="60"/>
    </w:pPr>
    <w:rPr>
      <w:rFonts w:ascii="Arial" w:hAnsi="Arial" w:cs="Arial"/>
      <w:sz w:val="18"/>
      <w:szCs w:val="24"/>
      <w:lang w:eastAsia="en-US"/>
    </w:rPr>
  </w:style>
  <w:style w:type="paragraph" w:customStyle="1" w:styleId="DSETblBdyR">
    <w:name w:val="DSE_TblBdyR"/>
    <w:rsid w:val="00B025B6"/>
    <w:pPr>
      <w:spacing w:before="80" w:after="60"/>
      <w:jc w:val="right"/>
    </w:pPr>
    <w:rPr>
      <w:rFonts w:ascii="Arial" w:hAnsi="Arial" w:cs="Arial"/>
      <w:sz w:val="18"/>
      <w:szCs w:val="24"/>
      <w:lang w:eastAsia="en-US"/>
    </w:rPr>
  </w:style>
  <w:style w:type="paragraph" w:customStyle="1" w:styleId="DSETblHdC">
    <w:name w:val="DSE_TblHdC"/>
    <w:rsid w:val="00677847"/>
    <w:pPr>
      <w:spacing w:before="60" w:after="60" w:line="230" w:lineRule="atLeast"/>
      <w:jc w:val="center"/>
    </w:pPr>
    <w:rPr>
      <w:rFonts w:ascii="Arial" w:hAnsi="Arial" w:cs="Arial"/>
      <w:b/>
      <w:sz w:val="19"/>
      <w:szCs w:val="24"/>
      <w:lang w:eastAsia="en-US"/>
    </w:rPr>
  </w:style>
  <w:style w:type="paragraph" w:customStyle="1" w:styleId="DSETblHdL">
    <w:name w:val="DSE_TblHdL"/>
    <w:rsid w:val="00677847"/>
    <w:pPr>
      <w:spacing w:before="60" w:after="60" w:line="230" w:lineRule="atLeast"/>
    </w:pPr>
    <w:rPr>
      <w:rFonts w:ascii="Arial" w:hAnsi="Arial" w:cs="Arial"/>
      <w:b/>
      <w:sz w:val="19"/>
      <w:szCs w:val="24"/>
      <w:lang w:eastAsia="en-US"/>
    </w:rPr>
  </w:style>
  <w:style w:type="paragraph" w:customStyle="1" w:styleId="DSETblHdR">
    <w:name w:val="DSE_TblHdR"/>
    <w:rsid w:val="00677847"/>
    <w:pPr>
      <w:spacing w:before="60" w:after="60" w:line="230" w:lineRule="atLeast"/>
      <w:jc w:val="right"/>
    </w:pPr>
    <w:rPr>
      <w:rFonts w:ascii="Arial" w:hAnsi="Arial" w:cs="Arial"/>
      <w:b/>
      <w:sz w:val="19"/>
      <w:szCs w:val="24"/>
      <w:lang w:eastAsia="en-US"/>
    </w:rPr>
  </w:style>
  <w:style w:type="numbering" w:styleId="111111">
    <w:name w:val="Outline List 2"/>
    <w:basedOn w:val="NoList"/>
    <w:semiHidden/>
    <w:rsid w:val="004578FA"/>
    <w:pPr>
      <w:numPr>
        <w:numId w:val="2"/>
      </w:numPr>
    </w:pPr>
  </w:style>
  <w:style w:type="numbering" w:styleId="1ai">
    <w:name w:val="Outline List 1"/>
    <w:basedOn w:val="NoList"/>
    <w:semiHidden/>
    <w:rsid w:val="004578FA"/>
    <w:pPr>
      <w:numPr>
        <w:numId w:val="3"/>
      </w:numPr>
    </w:pPr>
  </w:style>
  <w:style w:type="numbering" w:styleId="ArticleSection">
    <w:name w:val="Outline List 3"/>
    <w:basedOn w:val="NoList"/>
    <w:semiHidden/>
    <w:rsid w:val="004578FA"/>
    <w:pPr>
      <w:numPr>
        <w:numId w:val="4"/>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basedOn w:val="DefaultParagraphFont"/>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 w:val="20"/>
      <w:szCs w:val="20"/>
    </w:rPr>
  </w:style>
  <w:style w:type="character" w:styleId="FollowedHyperlink">
    <w:name w:val="FollowedHyperlink"/>
    <w:basedOn w:val="DefaultParagraphFont"/>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basedOn w:val="DefaultParagraphFont"/>
    <w:semiHidden/>
    <w:rsid w:val="004578FA"/>
    <w:rPr>
      <w:i/>
      <w:iCs/>
    </w:rPr>
  </w:style>
  <w:style w:type="character" w:styleId="HTMLCode">
    <w:name w:val="HTML Code"/>
    <w:basedOn w:val="DefaultParagraphFont"/>
    <w:semiHidden/>
    <w:rsid w:val="004578FA"/>
    <w:rPr>
      <w:rFonts w:ascii="Courier New" w:hAnsi="Courier New" w:cs="Courier New"/>
      <w:sz w:val="20"/>
      <w:szCs w:val="20"/>
    </w:rPr>
  </w:style>
  <w:style w:type="character" w:styleId="HTMLDefinition">
    <w:name w:val="HTML Definition"/>
    <w:basedOn w:val="DefaultParagraphFont"/>
    <w:semiHidden/>
    <w:rsid w:val="004578FA"/>
    <w:rPr>
      <w:i/>
      <w:iCs/>
    </w:rPr>
  </w:style>
  <w:style w:type="character" w:styleId="HTMLKeyboard">
    <w:name w:val="HTML Keyboard"/>
    <w:basedOn w:val="DefaultParagraphFont"/>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 w:val="20"/>
      <w:szCs w:val="20"/>
    </w:rPr>
  </w:style>
  <w:style w:type="character" w:styleId="HTMLSample">
    <w:name w:val="HTML Sample"/>
    <w:basedOn w:val="DefaultParagraphFont"/>
    <w:semiHidden/>
    <w:rsid w:val="004578FA"/>
    <w:rPr>
      <w:rFonts w:ascii="Courier New" w:hAnsi="Courier New" w:cs="Courier New"/>
    </w:rPr>
  </w:style>
  <w:style w:type="character" w:styleId="HTMLTypewriter">
    <w:name w:val="HTML Typewriter"/>
    <w:basedOn w:val="DefaultParagraphFont"/>
    <w:semiHidden/>
    <w:rsid w:val="004578FA"/>
    <w:rPr>
      <w:rFonts w:ascii="Courier New" w:hAnsi="Courier New" w:cs="Courier New"/>
      <w:sz w:val="20"/>
      <w:szCs w:val="20"/>
    </w:rPr>
  </w:style>
  <w:style w:type="character" w:styleId="HTMLVariable">
    <w:name w:val="HTML Variable"/>
    <w:basedOn w:val="DefaultParagraphFont"/>
    <w:semiHidden/>
    <w:rsid w:val="004578FA"/>
    <w:rPr>
      <w:i/>
      <w:iCs/>
    </w:rPr>
  </w:style>
  <w:style w:type="character" w:styleId="Hyperlink">
    <w:name w:val="Hyperlink"/>
    <w:basedOn w:val="DefaultParagraphFont"/>
    <w:uiPriority w:val="99"/>
    <w:rsid w:val="004578FA"/>
    <w:rPr>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semiHidden/>
    <w:rsid w:val="004578FA"/>
    <w:pPr>
      <w:numPr>
        <w:numId w:val="5"/>
      </w:numPr>
    </w:pPr>
  </w:style>
  <w:style w:type="paragraph" w:styleId="ListBullet2">
    <w:name w:val="List Bullet 2"/>
    <w:basedOn w:val="Normal"/>
    <w:semiHidden/>
    <w:rsid w:val="004578FA"/>
    <w:pPr>
      <w:numPr>
        <w:numId w:val="6"/>
      </w:numPr>
    </w:pPr>
  </w:style>
  <w:style w:type="paragraph" w:styleId="ListBullet3">
    <w:name w:val="List Bullet 3"/>
    <w:basedOn w:val="Normal"/>
    <w:semiHidden/>
    <w:rsid w:val="004578FA"/>
    <w:pPr>
      <w:numPr>
        <w:numId w:val="7"/>
      </w:numPr>
    </w:pPr>
  </w:style>
  <w:style w:type="paragraph" w:styleId="ListBullet4">
    <w:name w:val="List Bullet 4"/>
    <w:basedOn w:val="Normal"/>
    <w:semiHidden/>
    <w:rsid w:val="004578FA"/>
    <w:pPr>
      <w:numPr>
        <w:numId w:val="8"/>
      </w:numPr>
    </w:pPr>
  </w:style>
  <w:style w:type="paragraph" w:styleId="ListBullet5">
    <w:name w:val="List Bullet 5"/>
    <w:basedOn w:val="Normal"/>
    <w:semiHidden/>
    <w:rsid w:val="004578FA"/>
    <w:pPr>
      <w:numPr>
        <w:numId w:val="9"/>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10"/>
      </w:numPr>
    </w:pPr>
  </w:style>
  <w:style w:type="paragraph" w:styleId="ListNumber2">
    <w:name w:val="List Number 2"/>
    <w:basedOn w:val="Normal"/>
    <w:semiHidden/>
    <w:rsid w:val="004578FA"/>
    <w:pPr>
      <w:numPr>
        <w:numId w:val="11"/>
      </w:numPr>
    </w:pPr>
  </w:style>
  <w:style w:type="paragraph" w:styleId="ListNumber3">
    <w:name w:val="List Number 3"/>
    <w:basedOn w:val="Normal"/>
    <w:semiHidden/>
    <w:rsid w:val="004578FA"/>
    <w:pPr>
      <w:numPr>
        <w:numId w:val="12"/>
      </w:numPr>
    </w:pPr>
  </w:style>
  <w:style w:type="paragraph" w:styleId="ListNumber4">
    <w:name w:val="List Number 4"/>
    <w:basedOn w:val="Normal"/>
    <w:semiHidden/>
    <w:rsid w:val="004578FA"/>
    <w:pPr>
      <w:numPr>
        <w:numId w:val="13"/>
      </w:numPr>
    </w:pPr>
  </w:style>
  <w:style w:type="paragraph" w:styleId="ListNumber5">
    <w:name w:val="List Number 5"/>
    <w:basedOn w:val="Normal"/>
    <w:semiHidden/>
    <w:rsid w:val="004578FA"/>
    <w:pPr>
      <w:numPr>
        <w:numId w:val="14"/>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 w:val="20"/>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basedOn w:val="DefaultParagraphFont"/>
    <w:qFormat/>
    <w:rsid w:val="004578FA"/>
    <w:rPr>
      <w:b/>
      <w:bCs/>
    </w:rPr>
  </w:style>
  <w:style w:type="paragraph" w:styleId="Subtitle">
    <w:name w:val="Subtitle"/>
    <w:basedOn w:val="Normal"/>
    <w:qFormat/>
    <w:rsid w:val="004578FA"/>
    <w:pPr>
      <w:spacing w:after="60"/>
      <w:jc w:val="center"/>
      <w:outlineLvl w:val="1"/>
    </w:pPr>
    <w:rPr>
      <w:rFonts w:ascii="Arial" w:hAnsi="Arial" w:cs="Arial"/>
    </w:rPr>
  </w:style>
  <w:style w:type="table" w:styleId="Table3Deffects1">
    <w:name w:val="Table 3D effects 1"/>
    <w:basedOn w:val="TableNormal"/>
    <w:semiHidden/>
    <w:rsid w:val="004578F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semiHidden/>
    <w:rsid w:val="004578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semiHidden/>
    <w:rsid w:val="004578FA"/>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4578FA"/>
    <w:pPr>
      <w:spacing w:before="240" w:after="60"/>
      <w:jc w:val="center"/>
      <w:outlineLvl w:val="0"/>
    </w:pPr>
    <w:rPr>
      <w:rFonts w:ascii="Arial" w:hAnsi="Arial" w:cs="Arial"/>
      <w:b/>
      <w:bCs/>
      <w:kern w:val="28"/>
      <w:sz w:val="32"/>
      <w:szCs w:val="32"/>
    </w:rPr>
  </w:style>
  <w:style w:type="paragraph" w:customStyle="1" w:styleId="DSEFooter">
    <w:name w:val="DSE_Footer"/>
    <w:rsid w:val="004D5834"/>
    <w:pPr>
      <w:tabs>
        <w:tab w:val="right" w:pos="9639"/>
      </w:tabs>
      <w:jc w:val="center"/>
    </w:pPr>
    <w:rPr>
      <w:rFonts w:ascii="Arial" w:hAnsi="Arial"/>
      <w:sz w:val="14"/>
      <w:szCs w:val="24"/>
      <w:lang w:eastAsia="en-US"/>
    </w:rPr>
  </w:style>
  <w:style w:type="paragraph" w:customStyle="1" w:styleId="DSEHeader">
    <w:name w:val="DSE_Header"/>
    <w:rsid w:val="0025127D"/>
    <w:rPr>
      <w:sz w:val="24"/>
      <w:szCs w:val="24"/>
      <w:lang w:eastAsia="en-US"/>
    </w:rPr>
  </w:style>
  <w:style w:type="paragraph" w:customStyle="1" w:styleId="DSEHidden">
    <w:name w:val="DSE_Hidden"/>
    <w:rsid w:val="00235C7F"/>
    <w:rPr>
      <w:rFonts w:ascii="Arial" w:hAnsi="Arial" w:cs="Arial"/>
      <w:vanish/>
      <w:sz w:val="16"/>
      <w:szCs w:val="18"/>
      <w:lang w:eastAsia="en-US"/>
    </w:rPr>
  </w:style>
  <w:style w:type="character" w:customStyle="1" w:styleId="DSERptPgNum">
    <w:name w:val="DSE_RptPgNum"/>
    <w:basedOn w:val="DefaultParagraphFont"/>
    <w:rsid w:val="003F580E"/>
    <w:rPr>
      <w:color w:val="5A6E7E"/>
    </w:rPr>
  </w:style>
  <w:style w:type="paragraph" w:customStyle="1" w:styleId="DSEListNum">
    <w:name w:val="DSE_ListNum"/>
    <w:rsid w:val="005D35D2"/>
    <w:pPr>
      <w:numPr>
        <w:ilvl w:val="2"/>
        <w:numId w:val="19"/>
      </w:numPr>
      <w:tabs>
        <w:tab w:val="clear" w:pos="1800"/>
        <w:tab w:val="num" w:pos="284"/>
      </w:tabs>
      <w:spacing w:after="113" w:line="220" w:lineRule="atLeast"/>
      <w:ind w:left="284" w:hanging="284"/>
    </w:pPr>
    <w:rPr>
      <w:rFonts w:ascii="Arial" w:hAnsi="Arial" w:cs="Arial"/>
      <w:sz w:val="18"/>
      <w:szCs w:val="18"/>
      <w:lang w:eastAsia="en-US"/>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basedOn w:val="DefaultParagraphFont"/>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 w:val="20"/>
      <w:szCs w:val="20"/>
    </w:rPr>
  </w:style>
  <w:style w:type="paragraph" w:styleId="TOC2">
    <w:name w:val="toc 2"/>
    <w:basedOn w:val="Normal"/>
    <w:next w:val="Normal"/>
    <w:autoRedefine/>
    <w:uiPriority w:val="39"/>
    <w:rsid w:val="003F4DA9"/>
    <w:pPr>
      <w:tabs>
        <w:tab w:val="right" w:pos="9629"/>
      </w:tabs>
      <w:spacing w:after="60"/>
    </w:pPr>
    <w:rPr>
      <w:rFonts w:ascii="Arial" w:hAnsi="Arial"/>
      <w:noProof/>
      <w:sz w:val="18"/>
      <w:szCs w:val="18"/>
      <w:u w:color="00AAA1"/>
    </w:rPr>
  </w:style>
  <w:style w:type="paragraph" w:styleId="TOC1">
    <w:name w:val="toc 1"/>
    <w:basedOn w:val="Normal"/>
    <w:next w:val="Normal"/>
    <w:autoRedefine/>
    <w:uiPriority w:val="39"/>
    <w:rsid w:val="003F580E"/>
    <w:pPr>
      <w:pBdr>
        <w:bottom w:val="dotted" w:sz="12" w:space="3" w:color="5A6E7E"/>
      </w:pBdr>
      <w:tabs>
        <w:tab w:val="right" w:pos="9629"/>
      </w:tabs>
      <w:spacing w:before="320" w:after="120"/>
    </w:pPr>
    <w:rPr>
      <w:rFonts w:ascii="Arial" w:hAnsi="Arial"/>
      <w:b/>
      <w:noProof/>
      <w:color w:val="5A6E7E"/>
      <w:sz w:val="18"/>
      <w:lang w:val="en-US"/>
    </w:rPr>
  </w:style>
  <w:style w:type="paragraph" w:styleId="TOC3">
    <w:name w:val="toc 3"/>
    <w:basedOn w:val="Normal"/>
    <w:next w:val="Normal"/>
    <w:autoRedefine/>
    <w:semiHidden/>
    <w:rsid w:val="00A15796"/>
    <w:pPr>
      <w:ind w:left="480"/>
    </w:pPr>
    <w:rPr>
      <w:rFonts w:ascii="Arial" w:hAnsi="Arial"/>
    </w:rPr>
  </w:style>
  <w:style w:type="paragraph" w:customStyle="1" w:styleId="DSETOCTitle">
    <w:name w:val="DSE_TOCTitle"/>
    <w:basedOn w:val="DSEHA"/>
    <w:next w:val="DSEBody"/>
    <w:rsid w:val="00B04420"/>
  </w:style>
  <w:style w:type="paragraph" w:customStyle="1" w:styleId="DSETableTitle">
    <w:name w:val="DSE_TableTitle"/>
    <w:rsid w:val="00AF7962"/>
    <w:pPr>
      <w:spacing w:after="120" w:line="220" w:lineRule="atLeast"/>
    </w:pPr>
    <w:rPr>
      <w:rFonts w:ascii="Arial" w:hAnsi="Arial" w:cs="Arial"/>
      <w:b/>
      <w:color w:val="404040"/>
      <w:sz w:val="18"/>
      <w:szCs w:val="18"/>
      <w:lang w:eastAsia="en-US"/>
    </w:rPr>
  </w:style>
  <w:style w:type="table" w:customStyle="1" w:styleId="DSETable">
    <w:name w:val="DSE_Table"/>
    <w:basedOn w:val="TableGrid"/>
    <w:rsid w:val="003F580E"/>
    <w:tblPr>
      <w:tblStyleRowBandSize w:val="1"/>
      <w:tblStyleColBandSize w:val="1"/>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Arial" w:hAnsi="Arial"/>
      </w:rPr>
      <w:tblPr/>
      <w:tcPr>
        <w:shd w:val="clear" w:color="auto" w:fill="9FAAB6"/>
      </w:tcPr>
    </w:tblStylePr>
    <w:tblStylePr w:type="lastRow">
      <w:tblPr/>
      <w:tcPr>
        <w:tcBorders>
          <w:bottom w:val="single" w:sz="4" w:space="0" w:color="5A6E7E"/>
        </w:tcBorders>
      </w:tcPr>
    </w:tblStylePr>
    <w:tblStylePr w:type="firstCol">
      <w:tblPr/>
      <w:tcPr>
        <w:shd w:val="clear" w:color="auto" w:fill="E4E7EA"/>
      </w:tcPr>
    </w:tblStylePr>
    <w:tblStylePr w:type="band2Vert">
      <w:tblPr/>
      <w:tcPr>
        <w:shd w:val="clear" w:color="auto" w:fill="E4E7EA"/>
      </w:tcPr>
    </w:tblStylePr>
    <w:tblStylePr w:type="band1Horz">
      <w:tblPr/>
      <w:tcPr>
        <w:tcBorders>
          <w:bottom w:val="single" w:sz="4" w:space="0" w:color="5A6E7E"/>
          <w:insideH w:val="nil"/>
        </w:tcBorders>
      </w:tcPr>
    </w:tblStylePr>
    <w:tblStylePr w:type="band2Horz">
      <w:tblPr/>
      <w:tcPr>
        <w:tcBorders>
          <w:bottom w:val="single" w:sz="4" w:space="0" w:color="5A6E7E"/>
          <w:insideH w:val="nil"/>
        </w:tcBorders>
      </w:tcPr>
    </w:tblStylePr>
  </w:style>
  <w:style w:type="paragraph" w:styleId="BalloonText">
    <w:name w:val="Balloon Text"/>
    <w:basedOn w:val="Normal"/>
    <w:link w:val="BalloonTextChar"/>
    <w:rsid w:val="00A74EE5"/>
    <w:rPr>
      <w:rFonts w:ascii="Tahoma" w:hAnsi="Tahoma" w:cs="Tahoma"/>
      <w:sz w:val="16"/>
      <w:szCs w:val="16"/>
    </w:rPr>
  </w:style>
  <w:style w:type="character" w:customStyle="1" w:styleId="BalloonTextChar">
    <w:name w:val="Balloon Text Char"/>
    <w:basedOn w:val="DefaultParagraphFont"/>
    <w:link w:val="BalloonText"/>
    <w:rsid w:val="00A74EE5"/>
    <w:rPr>
      <w:rFonts w:ascii="Tahoma" w:hAnsi="Tahoma" w:cs="Tahoma"/>
      <w:sz w:val="16"/>
      <w:szCs w:val="16"/>
      <w:lang w:eastAsia="en-US"/>
    </w:rPr>
  </w:style>
  <w:style w:type="paragraph" w:styleId="EndnoteText">
    <w:name w:val="endnote text"/>
    <w:basedOn w:val="Normal"/>
    <w:link w:val="EndnoteTextChar"/>
    <w:rsid w:val="00D452E2"/>
    <w:rPr>
      <w:sz w:val="20"/>
      <w:szCs w:val="20"/>
    </w:rPr>
  </w:style>
  <w:style w:type="character" w:customStyle="1" w:styleId="EndnoteTextChar">
    <w:name w:val="Endnote Text Char"/>
    <w:basedOn w:val="DefaultParagraphFont"/>
    <w:link w:val="EndnoteText"/>
    <w:rsid w:val="00D452E2"/>
    <w:rPr>
      <w:lang w:eastAsia="en-US"/>
    </w:rPr>
  </w:style>
  <w:style w:type="character" w:styleId="EndnoteReference">
    <w:name w:val="endnote reference"/>
    <w:basedOn w:val="DefaultParagraphFont"/>
    <w:rsid w:val="00D452E2"/>
    <w:rPr>
      <w:vertAlign w:val="superscript"/>
    </w:rPr>
  </w:style>
  <w:style w:type="paragraph" w:styleId="Caption">
    <w:name w:val="caption"/>
    <w:basedOn w:val="Normal"/>
    <w:next w:val="Normal"/>
    <w:unhideWhenUsed/>
    <w:qFormat/>
    <w:rsid w:val="000C76F6"/>
    <w:pPr>
      <w:spacing w:after="200"/>
    </w:pPr>
    <w:rPr>
      <w:b/>
      <w:bCs/>
      <w:color w:val="4F81BD" w:themeColor="accent1"/>
      <w:sz w:val="18"/>
      <w:szCs w:val="18"/>
    </w:rPr>
  </w:style>
  <w:style w:type="character" w:styleId="CommentReference">
    <w:name w:val="annotation reference"/>
    <w:basedOn w:val="DefaultParagraphFont"/>
    <w:rsid w:val="00653667"/>
    <w:rPr>
      <w:sz w:val="16"/>
      <w:szCs w:val="16"/>
    </w:rPr>
  </w:style>
  <w:style w:type="paragraph" w:styleId="CommentText">
    <w:name w:val="annotation text"/>
    <w:basedOn w:val="Normal"/>
    <w:link w:val="CommentTextChar"/>
    <w:rsid w:val="00653667"/>
    <w:rPr>
      <w:sz w:val="20"/>
      <w:szCs w:val="20"/>
    </w:rPr>
  </w:style>
  <w:style w:type="character" w:customStyle="1" w:styleId="CommentTextChar">
    <w:name w:val="Comment Text Char"/>
    <w:basedOn w:val="DefaultParagraphFont"/>
    <w:link w:val="CommentText"/>
    <w:rsid w:val="00653667"/>
    <w:rPr>
      <w:lang w:eastAsia="en-US"/>
    </w:rPr>
  </w:style>
  <w:style w:type="paragraph" w:styleId="CommentSubject">
    <w:name w:val="annotation subject"/>
    <w:basedOn w:val="CommentText"/>
    <w:next w:val="CommentText"/>
    <w:link w:val="CommentSubjectChar"/>
    <w:rsid w:val="00653667"/>
    <w:rPr>
      <w:b/>
      <w:bCs/>
    </w:rPr>
  </w:style>
  <w:style w:type="character" w:customStyle="1" w:styleId="CommentSubjectChar">
    <w:name w:val="Comment Subject Char"/>
    <w:basedOn w:val="CommentTextChar"/>
    <w:link w:val="CommentSubject"/>
    <w:rsid w:val="00653667"/>
    <w:rPr>
      <w:b/>
      <w:bCs/>
      <w:lang w:eastAsia="en-US"/>
    </w:rPr>
  </w:style>
  <w:style w:type="paragraph" w:styleId="TableofFigures">
    <w:name w:val="table of figures"/>
    <w:basedOn w:val="DSEBody"/>
    <w:next w:val="Normal"/>
    <w:uiPriority w:val="99"/>
    <w:rsid w:val="003F4DA9"/>
    <w:pPr>
      <w:ind w:right="1134"/>
    </w:pPr>
  </w:style>
  <w:style w:type="paragraph" w:styleId="Revision">
    <w:name w:val="Revision"/>
    <w:hidden/>
    <w:uiPriority w:val="99"/>
    <w:semiHidden/>
    <w:rsid w:val="009A6312"/>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176778">
      <w:bodyDiv w:val="1"/>
      <w:marLeft w:val="0"/>
      <w:marRight w:val="0"/>
      <w:marTop w:val="0"/>
      <w:marBottom w:val="0"/>
      <w:divBdr>
        <w:top w:val="none" w:sz="0" w:space="0" w:color="auto"/>
        <w:left w:val="none" w:sz="0" w:space="0" w:color="auto"/>
        <w:bottom w:val="none" w:sz="0" w:space="0" w:color="auto"/>
        <w:right w:val="none" w:sz="0" w:space="0" w:color="auto"/>
      </w:divBdr>
    </w:div>
    <w:div w:id="787160257">
      <w:bodyDiv w:val="1"/>
      <w:marLeft w:val="0"/>
      <w:marRight w:val="0"/>
      <w:marTop w:val="0"/>
      <w:marBottom w:val="0"/>
      <w:divBdr>
        <w:top w:val="none" w:sz="0" w:space="0" w:color="auto"/>
        <w:left w:val="none" w:sz="0" w:space="0" w:color="auto"/>
        <w:bottom w:val="none" w:sz="0" w:space="0" w:color="auto"/>
        <w:right w:val="none" w:sz="0" w:space="0" w:color="auto"/>
      </w:divBdr>
    </w:div>
    <w:div w:id="857162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4.xml"/><Relationship Id="rId26" Type="http://schemas.openxmlformats.org/officeDocument/2006/relationships/image" Target="media/image10.jpeg"/><Relationship Id="rId39" Type="http://schemas.openxmlformats.org/officeDocument/2006/relationships/image" Target="media/image23.emf"/><Relationship Id="rId21" Type="http://schemas.openxmlformats.org/officeDocument/2006/relationships/footer" Target="footer6.xml"/><Relationship Id="rId34" Type="http://schemas.openxmlformats.org/officeDocument/2006/relationships/image" Target="media/image18.emf"/><Relationship Id="rId42" Type="http://schemas.openxmlformats.org/officeDocument/2006/relationships/image" Target="media/image24.emf"/><Relationship Id="rId47" Type="http://schemas.openxmlformats.org/officeDocument/2006/relationships/oleObject" Target="embeddings/Microsoft_Excel_97-2003_Worksheet4.xls"/><Relationship Id="rId50" Type="http://schemas.openxmlformats.org/officeDocument/2006/relationships/header" Target="header4.xml"/><Relationship Id="rId55" Type="http://schemas.openxmlformats.org/officeDocument/2006/relationships/footer" Target="footer9.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yperlink" Target="http://www.dse.vic.gov.au" TargetMode="External"/><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png"/><Relationship Id="rId46" Type="http://schemas.openxmlformats.org/officeDocument/2006/relationships/image" Target="media/image26.emf"/><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header" Target="header3.xml"/><Relationship Id="rId29" Type="http://schemas.openxmlformats.org/officeDocument/2006/relationships/image" Target="media/image13.emf"/><Relationship Id="rId41" Type="http://schemas.openxmlformats.org/officeDocument/2006/relationships/hyperlink" Target="https://ensym.dse.vic.gov.au/cms/" TargetMode="External"/><Relationship Id="rId54"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8.jpeg"/><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oleObject" Target="embeddings/Microsoft_Word_97_-_2003_Document1.doc"/><Relationship Id="rId45" Type="http://schemas.openxmlformats.org/officeDocument/2006/relationships/oleObject" Target="embeddings/Microsoft_Excel_97-2003_Worksheet3.xls"/><Relationship Id="rId53" Type="http://schemas.openxmlformats.org/officeDocument/2006/relationships/footer" Target="footer8.xml"/><Relationship Id="rId58"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2.xml"/><Relationship Id="rId23" Type="http://schemas.openxmlformats.org/officeDocument/2006/relationships/image" Target="media/image7.emf"/><Relationship Id="rId28" Type="http://schemas.openxmlformats.org/officeDocument/2006/relationships/image" Target="media/image12.png"/><Relationship Id="rId36" Type="http://schemas.openxmlformats.org/officeDocument/2006/relationships/image" Target="media/image20.emf"/><Relationship Id="rId49" Type="http://schemas.openxmlformats.org/officeDocument/2006/relationships/oleObject" Target="embeddings/Microsoft_Excel_97-2003_Worksheet5.xls"/><Relationship Id="rId57" Type="http://schemas.openxmlformats.org/officeDocument/2006/relationships/footer" Target="footer10.xml"/><Relationship Id="rId10" Type="http://schemas.openxmlformats.org/officeDocument/2006/relationships/image" Target="media/image1.png"/><Relationship Id="rId19" Type="http://schemas.openxmlformats.org/officeDocument/2006/relationships/footer" Target="footer5.xml"/><Relationship Id="rId31" Type="http://schemas.openxmlformats.org/officeDocument/2006/relationships/image" Target="media/image15.emf"/><Relationship Id="rId44" Type="http://schemas.openxmlformats.org/officeDocument/2006/relationships/image" Target="media/image25.emf"/><Relationship Id="rId52" Type="http://schemas.openxmlformats.org/officeDocument/2006/relationships/footer" Target="footer7.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oleObject" Target="embeddings/Microsoft_Excel_97-2003_Worksheet2.xls"/><Relationship Id="rId48" Type="http://schemas.openxmlformats.org/officeDocument/2006/relationships/image" Target="media/image27.emf"/><Relationship Id="rId56" Type="http://schemas.openxmlformats.org/officeDocument/2006/relationships/header" Target="header7.xml"/><Relationship Id="rId8" Type="http://schemas.openxmlformats.org/officeDocument/2006/relationships/footnotes" Target="footnotes.xml"/><Relationship Id="rId51" Type="http://schemas.openxmlformats.org/officeDocument/2006/relationships/header" Target="header5.xml"/><Relationship Id="rId3" Type="http://schemas.openxmlformats.org/officeDocument/2006/relationships/numbering" Target="numbering.xml"/></Relationships>
</file>

<file path=word/_rels/endnotes.xml.rels><?xml version="1.0" encoding="UTF-8" standalone="yes"?>
<Relationships xmlns="http://schemas.openxmlformats.org/package/2006/relationships"><Relationship Id="rId8" Type="http://schemas.openxmlformats.org/officeDocument/2006/relationships/hyperlink" Target="http://www.environment.gov.au/archive/biodiversity/toolbox/templates/pubs/habitat-hectares.pdf" TargetMode="External"/><Relationship Id="rId13" Type="http://schemas.openxmlformats.org/officeDocument/2006/relationships/hyperlink" Target="http://www.dse.vic.gov.au/conservation-and-environment/biodiversity/wetlands/index-of-wetland-condition" TargetMode="External"/><Relationship Id="rId3" Type="http://schemas.openxmlformats.org/officeDocument/2006/relationships/hyperlink" Target="http://unstats.un.org/unsd/envaccounting/londongroup/meeting18/LG18_12.pdf" TargetMode="External"/><Relationship Id="rId7" Type="http://schemas.openxmlformats.org/officeDocument/2006/relationships/hyperlink" Target="http://www.dse.vic.gov.au/conservation-and-environment/native-vegetation-groups-for-victoria/ecological-vegetation-classes-evc" TargetMode="External"/><Relationship Id="rId12" Type="http://schemas.openxmlformats.org/officeDocument/2006/relationships/hyperlink" Target="http://www.abs.gov.au/websitedbs/d3310114.nsf/home/australian+statistical+geography+standard+%28asgs%29" TargetMode="External"/><Relationship Id="rId2" Type="http://schemas.openxmlformats.org/officeDocument/2006/relationships/hyperlink" Target="http://unstats.un.org/unsd/envaccounting/White_cover.pdf" TargetMode="External"/><Relationship Id="rId1" Type="http://schemas.openxmlformats.org/officeDocument/2006/relationships/hyperlink" Target="http://unstats.un.org/unsd/envaccounting/seearev/Chapters/SEEA_EEA_v1.pdf" TargetMode="External"/><Relationship Id="rId6" Type="http://schemas.openxmlformats.org/officeDocument/2006/relationships/hyperlink" Target="http://www.environment.gov.au/erin/nvis/mvg/index.html%23mvg41" TargetMode="External"/><Relationship Id="rId11" Type="http://schemas.openxmlformats.org/officeDocument/2006/relationships/hyperlink" Target="http://www.environment.gov.au/parks/nrs/science/bioregion-framework/ibra/index.html" TargetMode="External"/><Relationship Id="rId5" Type="http://schemas.openxmlformats.org/officeDocument/2006/relationships/hyperlink" Target="http://www.environment.gov.au/erin/nvis/publications/avam/index.html" TargetMode="External"/><Relationship Id="rId10" Type="http://schemas.openxmlformats.org/officeDocument/2006/relationships/hyperlink" Target="http://www.wentworthgroup.org/blueprints/accounting-for-nature" TargetMode="External"/><Relationship Id="rId4" Type="http://schemas.openxmlformats.org/officeDocument/2006/relationships/hyperlink" Target="http://www.environment.gov.au/erin/nvis/publications/pubs/major-veg-summary.pdf" TargetMode="External"/><Relationship Id="rId9" Type="http://schemas.openxmlformats.org/officeDocument/2006/relationships/hyperlink" Target="http://www.abs.gov.au/ausstats/abs@.nsf/mf/4609.0.55.002" TargetMode="External"/><Relationship Id="rId14" Type="http://schemas.openxmlformats.org/officeDocument/2006/relationships/hyperlink" Target="http://www.water.vic.gov.au/monitoring/river-health/isc"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E0BBD2-D193-41A0-80FB-7C3D2FEDE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907</TotalTime>
  <Pages>29</Pages>
  <Words>7023</Words>
  <Characters>44293</Characters>
  <Application>Microsoft Office Word</Application>
  <DocSecurity>0</DocSecurity>
  <Lines>369</Lines>
  <Paragraphs>102</Paragraphs>
  <ScaleCrop>false</ScaleCrop>
  <HeadingPairs>
    <vt:vector size="2" baseType="variant">
      <vt:variant>
        <vt:lpstr>Title</vt:lpstr>
      </vt:variant>
      <vt:variant>
        <vt:i4>1</vt:i4>
      </vt:variant>
    </vt:vector>
  </HeadingPairs>
  <TitlesOfParts>
    <vt:vector size="1" baseType="lpstr">
      <vt:lpstr/>
    </vt:vector>
  </TitlesOfParts>
  <Company>Victorian Government Department of Sustainability and Environment</Company>
  <LinksUpToDate>false</LinksUpToDate>
  <CharactersWithSpaces>51214</CharactersWithSpaces>
  <SharedDoc>false</SharedDoc>
  <HLinks>
    <vt:vector size="12" baseType="variant">
      <vt:variant>
        <vt:i4>1310773</vt:i4>
      </vt:variant>
      <vt:variant>
        <vt:i4>8</vt:i4>
      </vt:variant>
      <vt:variant>
        <vt:i4>0</vt:i4>
      </vt:variant>
      <vt:variant>
        <vt:i4>5</vt:i4>
      </vt:variant>
      <vt:variant>
        <vt:lpwstr/>
      </vt:variant>
      <vt:variant>
        <vt:lpwstr>_Toc311556213</vt:lpwstr>
      </vt:variant>
      <vt:variant>
        <vt:i4>1310773</vt:i4>
      </vt:variant>
      <vt:variant>
        <vt:i4>2</vt:i4>
      </vt:variant>
      <vt:variant>
        <vt:i4>0</vt:i4>
      </vt:variant>
      <vt:variant>
        <vt:i4>5</vt:i4>
      </vt:variant>
      <vt:variant>
        <vt:lpwstr/>
      </vt:variant>
      <vt:variant>
        <vt:lpwstr>_Toc311556212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Victorian Experimental Ecosystem Accounts</dc:title>
  <dc:subject>Environmental-Economic Accounting </dc:subject>
  <dc:creator>Jessica Hasker;Mark Eigenraam;Joselito Chua</dc:creator>
  <cp:lastModifiedBy>Jessica Hasker</cp:lastModifiedBy>
  <cp:revision>371</cp:revision>
  <cp:lastPrinted>2013-03-25T16:21:00Z</cp:lastPrinted>
  <dcterms:created xsi:type="dcterms:W3CDTF">2013-03-25T23:39:00Z</dcterms:created>
  <dcterms:modified xsi:type="dcterms:W3CDTF">2013-03-26T23:22:00Z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